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3288B" w:rsidRDefault="000E1550">
      <w:pPr>
        <w:spacing w:after="0" w:line="276" w:lineRule="auto"/>
        <w:jc w:val="center"/>
        <w:rPr>
          <w:rFonts w:ascii="Arial" w:eastAsia="Arial" w:hAnsi="Arial" w:cs="Arial"/>
          <w:b/>
        </w:rPr>
      </w:pPr>
      <w:bookmarkStart w:id="0" w:name="_GoBack"/>
      <w:bookmarkEnd w:id="0"/>
      <w:r>
        <w:rPr>
          <w:noProof/>
          <w:lang w:val="es-419"/>
        </w:rPr>
        <w:drawing>
          <wp:anchor distT="0" distB="0" distL="114300" distR="114300" simplePos="0" relativeHeight="251658240" behindDoc="0" locked="0" layoutInCell="1" allowOverlap="1">
            <wp:simplePos x="0" y="0"/>
            <wp:positionH relativeFrom="column">
              <wp:posOffset>3471545</wp:posOffset>
            </wp:positionH>
            <wp:positionV relativeFrom="paragraph">
              <wp:posOffset>0</wp:posOffset>
            </wp:positionV>
            <wp:extent cx="2781935" cy="581025"/>
            <wp:effectExtent l="0" t="0" r="0" b="9525"/>
            <wp:wrapTopAndBottom/>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2781935" cy="581025"/>
                    </a:xfrm>
                    <a:prstGeom prst="rect">
                      <a:avLst/>
                    </a:prstGeom>
                  </pic:spPr>
                </pic:pic>
              </a:graphicData>
            </a:graphic>
            <wp14:sizeRelH relativeFrom="margin">
              <wp14:pctWidth>0</wp14:pctWidth>
            </wp14:sizeRelH>
            <wp14:sizeRelV relativeFrom="margin">
              <wp14:pctHeight>0</wp14:pctHeight>
            </wp14:sizeRelV>
          </wp:anchor>
        </w:drawing>
      </w:r>
    </w:p>
    <w:p w:rsidR="0023288B" w:rsidRDefault="00A0095D">
      <w:pPr>
        <w:spacing w:after="0" w:line="276" w:lineRule="auto"/>
        <w:jc w:val="center"/>
        <w:rPr>
          <w:rFonts w:ascii="Arial" w:eastAsia="Arial" w:hAnsi="Arial" w:cs="Arial"/>
          <w:b/>
          <w:sz w:val="24"/>
          <w:szCs w:val="24"/>
        </w:rPr>
      </w:pPr>
      <w:r>
        <w:rPr>
          <w:rFonts w:ascii="Arial" w:eastAsia="Arial" w:hAnsi="Arial" w:cs="Arial"/>
          <w:b/>
          <w:sz w:val="24"/>
          <w:szCs w:val="24"/>
        </w:rPr>
        <w:t>MEMORANDO</w:t>
      </w:r>
      <w:r>
        <w:rPr>
          <w:rFonts w:ascii="Arial" w:eastAsia="Arial" w:hAnsi="Arial" w:cs="Arial"/>
          <w:sz w:val="24"/>
          <w:szCs w:val="24"/>
        </w:rPr>
        <w:t xml:space="preserve"> </w:t>
      </w:r>
    </w:p>
    <w:p w:rsidR="0023288B" w:rsidRDefault="0023288B">
      <w:pPr>
        <w:spacing w:after="0" w:line="276" w:lineRule="auto"/>
        <w:rPr>
          <w:rFonts w:ascii="Arial" w:eastAsia="Arial" w:hAnsi="Arial" w:cs="Arial"/>
          <w:sz w:val="24"/>
          <w:szCs w:val="24"/>
        </w:rPr>
      </w:pPr>
    </w:p>
    <w:p w:rsidR="0023288B" w:rsidRDefault="0023288B">
      <w:pPr>
        <w:spacing w:after="0" w:line="276" w:lineRule="auto"/>
        <w:rPr>
          <w:rFonts w:ascii="Arial" w:eastAsia="Arial" w:hAnsi="Arial" w:cs="Arial"/>
          <w:sz w:val="24"/>
          <w:szCs w:val="24"/>
        </w:rPr>
      </w:pPr>
    </w:p>
    <w:p w:rsidR="0023288B" w:rsidRDefault="00A0095D">
      <w:pPr>
        <w:spacing w:after="0" w:line="276" w:lineRule="auto"/>
        <w:rPr>
          <w:rFonts w:ascii="Arial" w:eastAsia="Arial" w:hAnsi="Arial" w:cs="Arial"/>
          <w:b/>
          <w:sz w:val="24"/>
          <w:szCs w:val="24"/>
        </w:rPr>
      </w:pPr>
      <w:r>
        <w:rPr>
          <w:rFonts w:ascii="Arial" w:eastAsia="Arial" w:hAnsi="Arial" w:cs="Arial"/>
          <w:b/>
          <w:sz w:val="24"/>
          <w:szCs w:val="24"/>
        </w:rPr>
        <w:t>PARA</w:t>
      </w:r>
      <w:r>
        <w:rPr>
          <w:rFonts w:ascii="Arial" w:eastAsia="Arial" w:hAnsi="Arial" w:cs="Arial"/>
          <w:sz w:val="24"/>
          <w:szCs w:val="24"/>
        </w:rPr>
        <w:t xml:space="preserve">: </w:t>
      </w:r>
      <w:r>
        <w:rPr>
          <w:rFonts w:ascii="Arial" w:eastAsia="Arial" w:hAnsi="Arial" w:cs="Arial"/>
          <w:sz w:val="24"/>
          <w:szCs w:val="24"/>
        </w:rPr>
        <w:tab/>
      </w:r>
      <w:r>
        <w:rPr>
          <w:rFonts w:ascii="Arial" w:eastAsia="Arial" w:hAnsi="Arial" w:cs="Arial"/>
          <w:b/>
          <w:sz w:val="24"/>
          <w:szCs w:val="24"/>
        </w:rPr>
        <w:t>H.C.</w:t>
      </w:r>
      <w:r>
        <w:rPr>
          <w:rFonts w:ascii="Arial" w:eastAsia="Arial" w:hAnsi="Arial" w:cs="Arial"/>
          <w:sz w:val="24"/>
          <w:szCs w:val="24"/>
        </w:rPr>
        <w:t xml:space="preserve"> </w:t>
      </w:r>
      <w:r>
        <w:rPr>
          <w:rFonts w:ascii="Arial" w:eastAsia="Arial" w:hAnsi="Arial" w:cs="Arial"/>
          <w:b/>
          <w:sz w:val="24"/>
          <w:szCs w:val="24"/>
        </w:rPr>
        <w:t xml:space="preserve">ANDRÉS GIOVANNI BARRIOS BERNAL </w:t>
      </w:r>
    </w:p>
    <w:p w:rsidR="0023288B" w:rsidRDefault="00A0095D">
      <w:pPr>
        <w:spacing w:after="0" w:line="276" w:lineRule="auto"/>
        <w:ind w:left="708"/>
        <w:jc w:val="both"/>
        <w:rPr>
          <w:rFonts w:ascii="Arial" w:eastAsia="Arial" w:hAnsi="Arial" w:cs="Arial"/>
          <w:sz w:val="24"/>
          <w:szCs w:val="24"/>
        </w:rPr>
      </w:pPr>
      <w:r>
        <w:rPr>
          <w:rFonts w:ascii="Arial" w:eastAsia="Arial" w:hAnsi="Arial" w:cs="Arial"/>
          <w:sz w:val="24"/>
          <w:szCs w:val="24"/>
        </w:rPr>
        <w:t xml:space="preserve"> </w:t>
      </w:r>
      <w:r>
        <w:rPr>
          <w:rFonts w:ascii="Arial" w:eastAsia="Arial" w:hAnsi="Arial" w:cs="Arial"/>
          <w:sz w:val="24"/>
          <w:szCs w:val="24"/>
        </w:rPr>
        <w:tab/>
        <w:t>Presidente de la Comisión</w:t>
      </w:r>
    </w:p>
    <w:p w:rsidR="0023288B" w:rsidRDefault="00A0095D">
      <w:pPr>
        <w:spacing w:after="0" w:line="276" w:lineRule="auto"/>
        <w:ind w:left="708"/>
        <w:jc w:val="both"/>
        <w:rPr>
          <w:rFonts w:ascii="Arial" w:eastAsia="Arial" w:hAnsi="Arial" w:cs="Arial"/>
          <w:sz w:val="24"/>
          <w:szCs w:val="24"/>
        </w:rPr>
      </w:pPr>
      <w:r>
        <w:rPr>
          <w:rFonts w:ascii="Arial" w:eastAsia="Arial" w:hAnsi="Arial" w:cs="Arial"/>
          <w:sz w:val="24"/>
          <w:szCs w:val="24"/>
        </w:rPr>
        <w:t xml:space="preserve"> </w:t>
      </w:r>
      <w:r>
        <w:rPr>
          <w:rFonts w:ascii="Arial" w:eastAsia="Arial" w:hAnsi="Arial" w:cs="Arial"/>
          <w:sz w:val="24"/>
          <w:szCs w:val="24"/>
        </w:rPr>
        <w:tab/>
        <w:t xml:space="preserve">Comisión Segunda Permanente de Gobierno                  </w:t>
      </w:r>
      <w:r>
        <w:rPr>
          <w:rFonts w:ascii="Arial" w:eastAsia="Arial" w:hAnsi="Arial" w:cs="Arial"/>
          <w:sz w:val="24"/>
          <w:szCs w:val="24"/>
        </w:rPr>
        <w:tab/>
        <w:t xml:space="preserve">   </w:t>
      </w:r>
    </w:p>
    <w:p w:rsidR="0023288B" w:rsidRDefault="00A0095D">
      <w:pPr>
        <w:spacing w:after="0" w:line="276" w:lineRule="auto"/>
        <w:jc w:val="center"/>
        <w:rPr>
          <w:rFonts w:ascii="Arial" w:eastAsia="Arial" w:hAnsi="Arial" w:cs="Arial"/>
          <w:sz w:val="24"/>
          <w:szCs w:val="24"/>
        </w:rPr>
      </w:pPr>
      <w:r>
        <w:rPr>
          <w:rFonts w:ascii="Arial" w:eastAsia="Arial" w:hAnsi="Arial" w:cs="Arial"/>
          <w:sz w:val="24"/>
          <w:szCs w:val="24"/>
        </w:rPr>
        <w:t xml:space="preserve"> </w:t>
      </w:r>
    </w:p>
    <w:p w:rsidR="0023288B" w:rsidRDefault="00A0095D">
      <w:pPr>
        <w:spacing w:after="0" w:line="276" w:lineRule="auto"/>
        <w:ind w:left="1133" w:hanging="1133"/>
        <w:rPr>
          <w:rFonts w:ascii="Arial" w:eastAsia="Arial" w:hAnsi="Arial" w:cs="Arial"/>
          <w:b/>
          <w:sz w:val="24"/>
          <w:szCs w:val="24"/>
        </w:rPr>
      </w:pPr>
      <w:r>
        <w:rPr>
          <w:rFonts w:ascii="Arial" w:eastAsia="Arial" w:hAnsi="Arial" w:cs="Arial"/>
          <w:b/>
          <w:sz w:val="24"/>
          <w:szCs w:val="24"/>
        </w:rPr>
        <w:t>DE</w:t>
      </w:r>
      <w:r>
        <w:rPr>
          <w:rFonts w:ascii="Arial" w:eastAsia="Arial" w:hAnsi="Arial" w:cs="Arial"/>
          <w:sz w:val="24"/>
          <w:szCs w:val="24"/>
        </w:rPr>
        <w:t xml:space="preserve">:    </w:t>
      </w:r>
      <w:r>
        <w:rPr>
          <w:rFonts w:ascii="Arial" w:eastAsia="Arial" w:hAnsi="Arial" w:cs="Arial"/>
          <w:sz w:val="24"/>
          <w:szCs w:val="24"/>
        </w:rPr>
        <w:tab/>
      </w:r>
      <w:r>
        <w:rPr>
          <w:rFonts w:ascii="Arial" w:eastAsia="Arial" w:hAnsi="Arial" w:cs="Arial"/>
          <w:sz w:val="24"/>
          <w:szCs w:val="24"/>
        </w:rPr>
        <w:tab/>
      </w:r>
      <w:r>
        <w:rPr>
          <w:rFonts w:ascii="Arial" w:eastAsia="Arial" w:hAnsi="Arial" w:cs="Arial"/>
          <w:b/>
          <w:sz w:val="24"/>
          <w:szCs w:val="24"/>
        </w:rPr>
        <w:t>H.C. JULIÁN FELIPE TRIANA VARGAS</w:t>
      </w:r>
    </w:p>
    <w:p w:rsidR="0023288B" w:rsidRDefault="00A0095D">
      <w:pPr>
        <w:spacing w:after="0" w:line="276" w:lineRule="auto"/>
        <w:jc w:val="center"/>
        <w:rPr>
          <w:rFonts w:ascii="Arial" w:eastAsia="Arial" w:hAnsi="Arial" w:cs="Arial"/>
          <w:sz w:val="24"/>
          <w:szCs w:val="24"/>
        </w:rPr>
      </w:pPr>
      <w:r>
        <w:rPr>
          <w:rFonts w:ascii="Arial" w:eastAsia="Arial" w:hAnsi="Arial" w:cs="Arial"/>
          <w:sz w:val="24"/>
          <w:szCs w:val="24"/>
        </w:rPr>
        <w:t xml:space="preserve"> </w:t>
      </w:r>
    </w:p>
    <w:p w:rsidR="0023288B" w:rsidRDefault="0023288B">
      <w:pPr>
        <w:spacing w:after="0" w:line="276" w:lineRule="auto"/>
        <w:ind w:left="1133" w:hanging="1133"/>
        <w:jc w:val="both"/>
        <w:rPr>
          <w:rFonts w:ascii="Arial" w:eastAsia="Arial" w:hAnsi="Arial" w:cs="Arial"/>
          <w:b/>
          <w:sz w:val="24"/>
          <w:szCs w:val="24"/>
        </w:rPr>
      </w:pPr>
    </w:p>
    <w:p w:rsidR="0023288B" w:rsidRDefault="0023288B">
      <w:pPr>
        <w:spacing w:after="0" w:line="276" w:lineRule="auto"/>
        <w:ind w:left="1133" w:hanging="1133"/>
        <w:jc w:val="both"/>
        <w:rPr>
          <w:rFonts w:ascii="Arial" w:eastAsia="Arial" w:hAnsi="Arial" w:cs="Arial"/>
          <w:b/>
          <w:sz w:val="24"/>
          <w:szCs w:val="24"/>
        </w:rPr>
      </w:pPr>
    </w:p>
    <w:p w:rsidR="0023288B" w:rsidRDefault="00A0095D">
      <w:pPr>
        <w:spacing w:after="0" w:line="276" w:lineRule="auto"/>
        <w:ind w:left="1133" w:hanging="1133"/>
        <w:jc w:val="both"/>
        <w:rPr>
          <w:rFonts w:ascii="Arial" w:eastAsia="Arial" w:hAnsi="Arial" w:cs="Arial"/>
          <w:sz w:val="24"/>
          <w:szCs w:val="24"/>
        </w:rPr>
      </w:pPr>
      <w:r>
        <w:rPr>
          <w:rFonts w:ascii="Arial" w:eastAsia="Arial" w:hAnsi="Arial" w:cs="Arial"/>
          <w:b/>
          <w:sz w:val="24"/>
          <w:szCs w:val="24"/>
        </w:rPr>
        <w:t>ASUNTO:</w:t>
      </w:r>
      <w:r>
        <w:rPr>
          <w:rFonts w:ascii="Arial" w:eastAsia="Arial" w:hAnsi="Arial" w:cs="Arial"/>
          <w:sz w:val="24"/>
          <w:szCs w:val="24"/>
        </w:rPr>
        <w:t xml:space="preserve"> Ponencia Positiva con Modificaciones al Proyecto de Acuerdo No. 465         de 2025.</w:t>
      </w:r>
    </w:p>
    <w:p w:rsidR="0023288B" w:rsidRDefault="0023288B">
      <w:pPr>
        <w:spacing w:after="0" w:line="276" w:lineRule="auto"/>
        <w:jc w:val="both"/>
        <w:rPr>
          <w:rFonts w:ascii="Arial" w:eastAsia="Arial" w:hAnsi="Arial" w:cs="Arial"/>
          <w:sz w:val="24"/>
          <w:szCs w:val="24"/>
        </w:rPr>
      </w:pPr>
    </w:p>
    <w:p w:rsidR="0023288B" w:rsidRDefault="00A0095D">
      <w:pPr>
        <w:spacing w:after="0" w:line="276" w:lineRule="auto"/>
        <w:ind w:left="2840" w:hanging="1420"/>
        <w:jc w:val="center"/>
        <w:rPr>
          <w:rFonts w:ascii="Arial" w:eastAsia="Arial" w:hAnsi="Arial" w:cs="Arial"/>
          <w:sz w:val="24"/>
          <w:szCs w:val="24"/>
        </w:rPr>
      </w:pPr>
      <w:r>
        <w:rPr>
          <w:rFonts w:ascii="Arial" w:eastAsia="Arial" w:hAnsi="Arial" w:cs="Arial"/>
          <w:sz w:val="24"/>
          <w:szCs w:val="24"/>
        </w:rPr>
        <w:t xml:space="preserve"> </w:t>
      </w:r>
    </w:p>
    <w:p w:rsidR="0023288B" w:rsidRDefault="00A0095D">
      <w:pPr>
        <w:spacing w:after="0" w:line="276" w:lineRule="auto"/>
        <w:jc w:val="both"/>
        <w:rPr>
          <w:rFonts w:ascii="Arial" w:eastAsia="Arial" w:hAnsi="Arial" w:cs="Arial"/>
          <w:sz w:val="24"/>
          <w:szCs w:val="24"/>
        </w:rPr>
      </w:pPr>
      <w:r>
        <w:rPr>
          <w:rFonts w:ascii="Arial" w:eastAsia="Arial" w:hAnsi="Arial" w:cs="Arial"/>
          <w:sz w:val="24"/>
          <w:szCs w:val="24"/>
        </w:rPr>
        <w:t>Apreciado Presidente,</w:t>
      </w:r>
    </w:p>
    <w:p w:rsidR="0023288B" w:rsidRDefault="0023288B">
      <w:pPr>
        <w:spacing w:after="0" w:line="276" w:lineRule="auto"/>
        <w:jc w:val="both"/>
        <w:rPr>
          <w:rFonts w:ascii="Arial" w:eastAsia="Arial" w:hAnsi="Arial" w:cs="Arial"/>
          <w:sz w:val="24"/>
          <w:szCs w:val="24"/>
        </w:rPr>
      </w:pPr>
    </w:p>
    <w:p w:rsidR="0023288B" w:rsidRDefault="00A0095D">
      <w:pPr>
        <w:spacing w:after="0" w:line="276" w:lineRule="auto"/>
        <w:jc w:val="both"/>
        <w:rPr>
          <w:rFonts w:ascii="Arial" w:eastAsia="Arial" w:hAnsi="Arial" w:cs="Arial"/>
          <w:i/>
          <w:sz w:val="24"/>
          <w:szCs w:val="24"/>
        </w:rPr>
      </w:pPr>
      <w:r>
        <w:rPr>
          <w:rFonts w:ascii="Arial" w:eastAsia="Arial" w:hAnsi="Arial" w:cs="Arial"/>
          <w:sz w:val="24"/>
          <w:szCs w:val="24"/>
        </w:rPr>
        <w:t xml:space="preserve">Por designación efectuada mediante oficio No 2025IE8077 del 5 de mayo de 2025 por parte de la Secretario General de la Corporación, y encontrándome dentro del término reglamentario establecido en el Artículo 71 del  Acuerdo 741 de 2019, de manera atenta, me permito radicar digitalmente ante su despacho </w:t>
      </w:r>
      <w:r>
        <w:rPr>
          <w:rFonts w:ascii="Arial" w:eastAsia="Arial" w:hAnsi="Arial" w:cs="Arial"/>
          <w:b/>
          <w:sz w:val="24"/>
          <w:szCs w:val="24"/>
        </w:rPr>
        <w:t>PONENCIA POSITIVA CON MODIFICACIONES</w:t>
      </w:r>
      <w:r>
        <w:rPr>
          <w:rFonts w:ascii="Arial" w:eastAsia="Arial" w:hAnsi="Arial" w:cs="Arial"/>
          <w:sz w:val="24"/>
          <w:szCs w:val="24"/>
        </w:rPr>
        <w:t xml:space="preserve"> al Proyecto de Acuerdo Nº 465 de 2025 </w:t>
      </w:r>
      <w:r>
        <w:rPr>
          <w:rFonts w:ascii="Arial" w:eastAsia="Arial" w:hAnsi="Arial" w:cs="Arial"/>
          <w:i/>
          <w:sz w:val="24"/>
          <w:szCs w:val="24"/>
        </w:rPr>
        <w:t>“Por medio del cual se fomenta la lectura en las instituciones educativas distritales a través del día de la lectura”.</w:t>
      </w:r>
    </w:p>
    <w:p w:rsidR="0023288B" w:rsidRDefault="0023288B">
      <w:pPr>
        <w:spacing w:after="0" w:line="276" w:lineRule="auto"/>
        <w:jc w:val="both"/>
        <w:rPr>
          <w:rFonts w:ascii="Arial" w:eastAsia="Arial" w:hAnsi="Arial" w:cs="Arial"/>
          <w:sz w:val="24"/>
          <w:szCs w:val="24"/>
        </w:rPr>
      </w:pPr>
    </w:p>
    <w:p w:rsidR="0023288B" w:rsidRDefault="00A0095D">
      <w:pPr>
        <w:spacing w:after="0" w:line="276" w:lineRule="auto"/>
        <w:jc w:val="both"/>
        <w:rPr>
          <w:rFonts w:ascii="Arial" w:eastAsia="Arial" w:hAnsi="Arial" w:cs="Arial"/>
          <w:sz w:val="24"/>
          <w:szCs w:val="24"/>
        </w:rPr>
      </w:pPr>
      <w:r>
        <w:rPr>
          <w:rFonts w:ascii="Arial" w:eastAsia="Arial" w:hAnsi="Arial" w:cs="Arial"/>
          <w:sz w:val="24"/>
          <w:szCs w:val="24"/>
        </w:rPr>
        <w:t>Agradezco su amable gestión.</w:t>
      </w:r>
    </w:p>
    <w:p w:rsidR="0023288B" w:rsidRDefault="0023288B">
      <w:pPr>
        <w:spacing w:after="0" w:line="276" w:lineRule="auto"/>
        <w:jc w:val="both"/>
        <w:rPr>
          <w:rFonts w:ascii="Arial" w:eastAsia="Arial" w:hAnsi="Arial" w:cs="Arial"/>
          <w:sz w:val="24"/>
          <w:szCs w:val="24"/>
        </w:rPr>
      </w:pPr>
    </w:p>
    <w:p w:rsidR="0023288B" w:rsidRDefault="00A0095D">
      <w:pPr>
        <w:spacing w:after="0" w:line="276" w:lineRule="auto"/>
        <w:jc w:val="both"/>
        <w:rPr>
          <w:rFonts w:ascii="Arial" w:eastAsia="Arial" w:hAnsi="Arial" w:cs="Arial"/>
          <w:sz w:val="24"/>
          <w:szCs w:val="24"/>
        </w:rPr>
      </w:pPr>
      <w:r>
        <w:rPr>
          <w:rFonts w:ascii="Arial" w:eastAsia="Arial" w:hAnsi="Arial" w:cs="Arial"/>
          <w:sz w:val="24"/>
          <w:szCs w:val="24"/>
        </w:rPr>
        <w:t>Cordialmente,</w:t>
      </w:r>
    </w:p>
    <w:p w:rsidR="0023288B" w:rsidRDefault="0023288B">
      <w:pPr>
        <w:spacing w:after="0" w:line="276" w:lineRule="auto"/>
        <w:jc w:val="both"/>
        <w:rPr>
          <w:rFonts w:ascii="Arial" w:eastAsia="Arial" w:hAnsi="Arial" w:cs="Arial"/>
          <w:sz w:val="24"/>
          <w:szCs w:val="24"/>
        </w:rPr>
      </w:pPr>
    </w:p>
    <w:tbl>
      <w:tblPr>
        <w:tblStyle w:val="af1"/>
        <w:tblW w:w="8975" w:type="dxa"/>
        <w:tblInd w:w="-147" w:type="dxa"/>
        <w:tblBorders>
          <w:top w:val="nil"/>
          <w:left w:val="nil"/>
          <w:bottom w:val="nil"/>
          <w:right w:val="nil"/>
          <w:insideH w:val="nil"/>
          <w:insideV w:val="nil"/>
        </w:tblBorders>
        <w:tblLayout w:type="fixed"/>
        <w:tblLook w:val="0400" w:firstRow="0" w:lastRow="0" w:firstColumn="0" w:lastColumn="0" w:noHBand="0" w:noVBand="1"/>
      </w:tblPr>
      <w:tblGrid>
        <w:gridCol w:w="4561"/>
        <w:gridCol w:w="4414"/>
      </w:tblGrid>
      <w:tr w:rsidR="0023288B">
        <w:tc>
          <w:tcPr>
            <w:tcW w:w="4561" w:type="dxa"/>
          </w:tcPr>
          <w:p w:rsidR="0023288B" w:rsidRDefault="0023288B">
            <w:pPr>
              <w:spacing w:line="276" w:lineRule="auto"/>
              <w:jc w:val="both"/>
              <w:rPr>
                <w:rFonts w:ascii="Arial" w:eastAsia="Arial" w:hAnsi="Arial" w:cs="Arial"/>
                <w:sz w:val="24"/>
                <w:szCs w:val="24"/>
              </w:rPr>
            </w:pPr>
          </w:p>
          <w:p w:rsidR="0023288B" w:rsidRDefault="0023288B">
            <w:pPr>
              <w:spacing w:line="276" w:lineRule="auto"/>
              <w:jc w:val="both"/>
              <w:rPr>
                <w:rFonts w:ascii="Arial" w:eastAsia="Arial" w:hAnsi="Arial" w:cs="Arial"/>
                <w:sz w:val="24"/>
                <w:szCs w:val="24"/>
              </w:rPr>
            </w:pPr>
          </w:p>
          <w:p w:rsidR="0023288B" w:rsidRDefault="00A0095D">
            <w:pPr>
              <w:spacing w:line="276" w:lineRule="auto"/>
              <w:jc w:val="both"/>
              <w:rPr>
                <w:rFonts w:ascii="Arial" w:eastAsia="Arial" w:hAnsi="Arial" w:cs="Arial"/>
                <w:b/>
                <w:sz w:val="24"/>
                <w:szCs w:val="24"/>
              </w:rPr>
            </w:pPr>
            <w:r>
              <w:rPr>
                <w:rFonts w:ascii="Arial" w:eastAsia="Arial" w:hAnsi="Arial" w:cs="Arial"/>
                <w:b/>
                <w:sz w:val="24"/>
                <w:szCs w:val="24"/>
              </w:rPr>
              <w:t>JULIÁN FELIPE TRIANA VARGAS</w:t>
            </w:r>
          </w:p>
          <w:p w:rsidR="0023288B" w:rsidRDefault="00A0095D">
            <w:pPr>
              <w:spacing w:line="276" w:lineRule="auto"/>
              <w:jc w:val="both"/>
              <w:rPr>
                <w:rFonts w:ascii="Arial" w:eastAsia="Arial" w:hAnsi="Arial" w:cs="Arial"/>
                <w:sz w:val="24"/>
                <w:szCs w:val="24"/>
              </w:rPr>
            </w:pPr>
            <w:r>
              <w:rPr>
                <w:rFonts w:ascii="Arial" w:eastAsia="Arial" w:hAnsi="Arial" w:cs="Arial"/>
                <w:sz w:val="24"/>
                <w:szCs w:val="24"/>
              </w:rPr>
              <w:t>Concejal de Bogotá D.C.</w:t>
            </w:r>
          </w:p>
          <w:p w:rsidR="0023288B" w:rsidRDefault="00A0095D">
            <w:pPr>
              <w:spacing w:line="276" w:lineRule="auto"/>
              <w:jc w:val="both"/>
              <w:rPr>
                <w:rFonts w:ascii="Arial" w:eastAsia="Arial" w:hAnsi="Arial" w:cs="Arial"/>
                <w:sz w:val="24"/>
                <w:szCs w:val="24"/>
              </w:rPr>
            </w:pPr>
            <w:r>
              <w:rPr>
                <w:rFonts w:ascii="Arial" w:eastAsia="Arial" w:hAnsi="Arial" w:cs="Arial"/>
                <w:sz w:val="24"/>
                <w:szCs w:val="24"/>
              </w:rPr>
              <w:lastRenderedPageBreak/>
              <w:t>Partido Alianza Verde</w:t>
            </w:r>
          </w:p>
          <w:p w:rsidR="0023288B" w:rsidRDefault="00A0095D">
            <w:pPr>
              <w:spacing w:line="276" w:lineRule="auto"/>
              <w:jc w:val="both"/>
              <w:rPr>
                <w:rFonts w:ascii="Arial" w:eastAsia="Arial" w:hAnsi="Arial" w:cs="Arial"/>
                <w:sz w:val="24"/>
                <w:szCs w:val="24"/>
              </w:rPr>
            </w:pPr>
            <w:r>
              <w:rPr>
                <w:rFonts w:ascii="Arial" w:eastAsia="Arial" w:hAnsi="Arial" w:cs="Arial"/>
                <w:sz w:val="24"/>
                <w:szCs w:val="24"/>
              </w:rPr>
              <w:t>Coordinador Ponente</w:t>
            </w:r>
          </w:p>
          <w:p w:rsidR="0023288B" w:rsidRDefault="0023288B">
            <w:pPr>
              <w:spacing w:line="276" w:lineRule="auto"/>
              <w:jc w:val="both"/>
              <w:rPr>
                <w:rFonts w:ascii="Arial" w:eastAsia="Arial" w:hAnsi="Arial" w:cs="Arial"/>
                <w:sz w:val="24"/>
                <w:szCs w:val="24"/>
              </w:rPr>
            </w:pPr>
          </w:p>
        </w:tc>
        <w:tc>
          <w:tcPr>
            <w:tcW w:w="4414" w:type="dxa"/>
          </w:tcPr>
          <w:p w:rsidR="0023288B" w:rsidRDefault="0023288B">
            <w:pPr>
              <w:spacing w:line="276" w:lineRule="auto"/>
              <w:jc w:val="both"/>
              <w:rPr>
                <w:rFonts w:ascii="Arial" w:eastAsia="Arial" w:hAnsi="Arial" w:cs="Arial"/>
                <w:sz w:val="24"/>
                <w:szCs w:val="24"/>
              </w:rPr>
            </w:pPr>
          </w:p>
          <w:p w:rsidR="0023288B" w:rsidRDefault="0023288B">
            <w:pPr>
              <w:spacing w:line="276" w:lineRule="auto"/>
              <w:jc w:val="both"/>
              <w:rPr>
                <w:rFonts w:ascii="Arial" w:eastAsia="Arial" w:hAnsi="Arial" w:cs="Arial"/>
                <w:sz w:val="24"/>
                <w:szCs w:val="24"/>
              </w:rPr>
            </w:pPr>
          </w:p>
        </w:tc>
      </w:tr>
    </w:tbl>
    <w:p w:rsidR="0023288B" w:rsidRDefault="00A0095D">
      <w:pPr>
        <w:spacing w:line="276" w:lineRule="auto"/>
        <w:jc w:val="center"/>
        <w:rPr>
          <w:rFonts w:ascii="Arial" w:eastAsia="Arial" w:hAnsi="Arial" w:cs="Arial"/>
          <w:b/>
          <w:sz w:val="24"/>
          <w:szCs w:val="24"/>
        </w:rPr>
      </w:pPr>
      <w:r>
        <w:rPr>
          <w:rFonts w:ascii="Arial" w:eastAsia="Arial" w:hAnsi="Arial" w:cs="Arial"/>
          <w:b/>
          <w:sz w:val="24"/>
          <w:szCs w:val="24"/>
        </w:rPr>
        <w:lastRenderedPageBreak/>
        <w:t>PONENCIA PARA PRIMER DEBATE AL PROYECTO DE ACUERDO No. 465 DE 2025</w:t>
      </w:r>
    </w:p>
    <w:p w:rsidR="0023288B" w:rsidRDefault="00A0095D">
      <w:pPr>
        <w:spacing w:before="240" w:after="240" w:line="276" w:lineRule="auto"/>
        <w:jc w:val="center"/>
        <w:rPr>
          <w:rFonts w:ascii="Arial" w:eastAsia="Arial" w:hAnsi="Arial" w:cs="Arial"/>
          <w:b/>
          <w:sz w:val="24"/>
          <w:szCs w:val="24"/>
        </w:rPr>
      </w:pPr>
      <w:r>
        <w:rPr>
          <w:rFonts w:ascii="Arial" w:eastAsia="Arial" w:hAnsi="Arial" w:cs="Arial"/>
          <w:b/>
          <w:sz w:val="24"/>
          <w:szCs w:val="24"/>
        </w:rPr>
        <w:t>“POR MEDIO DEL CUAL SE FOMENTA LA LECTURA EN LAS INSTITUCIONES EDUCATIVAS DISTRITALES A TRAVÉS DEL DÍA DE LA LECTURA”</w:t>
      </w:r>
    </w:p>
    <w:p w:rsidR="0023288B" w:rsidRDefault="0023288B">
      <w:pPr>
        <w:spacing w:line="276" w:lineRule="auto"/>
        <w:jc w:val="both"/>
        <w:rPr>
          <w:rFonts w:ascii="Arial" w:eastAsia="Arial" w:hAnsi="Arial" w:cs="Arial"/>
          <w:sz w:val="24"/>
          <w:szCs w:val="24"/>
        </w:rPr>
      </w:pPr>
    </w:p>
    <w:p w:rsidR="0023288B" w:rsidRDefault="00A0095D">
      <w:pPr>
        <w:spacing w:line="276" w:lineRule="auto"/>
        <w:jc w:val="both"/>
        <w:rPr>
          <w:rFonts w:ascii="Arial" w:eastAsia="Arial" w:hAnsi="Arial" w:cs="Arial"/>
          <w:b/>
          <w:sz w:val="24"/>
          <w:szCs w:val="24"/>
        </w:rPr>
      </w:pPr>
      <w:r>
        <w:rPr>
          <w:rFonts w:ascii="Arial" w:eastAsia="Arial" w:hAnsi="Arial" w:cs="Arial"/>
          <w:b/>
          <w:sz w:val="24"/>
          <w:szCs w:val="24"/>
        </w:rPr>
        <w:t>I. OBJETO DEL PROYECTO</w:t>
      </w:r>
    </w:p>
    <w:p w:rsidR="0023288B" w:rsidRDefault="00A0095D">
      <w:pPr>
        <w:spacing w:line="276" w:lineRule="auto"/>
        <w:jc w:val="both"/>
        <w:rPr>
          <w:rFonts w:ascii="Arial" w:eastAsia="Arial" w:hAnsi="Arial" w:cs="Arial"/>
          <w:sz w:val="24"/>
          <w:szCs w:val="24"/>
        </w:rPr>
      </w:pPr>
      <w:r>
        <w:rPr>
          <w:rFonts w:ascii="Arial" w:eastAsia="Arial" w:hAnsi="Arial" w:cs="Arial"/>
          <w:sz w:val="24"/>
          <w:szCs w:val="24"/>
        </w:rPr>
        <w:t>Este proyecto de acuerdo tiene como objetivo promover la lectura en las instituciones educativas oficiales de la ciudad, incentivando el fortalecimiento de las competencias lectoras y del pensamiento crítico en las y los estudiantes. El hábito de lectura es de gran relevancia para los habitantes del Distrito, ya sea por placer, cultura general, exigencias laborales o académicas, o por el simple deseo de informarse. Su importancia radica en la constante necesidad de las personas de acceder y comprender información, lo cual constituye la base del aprendizaje, facilita la adquisición de conocimientos y sustenta el núcleo del sistema educativo.</w:t>
      </w:r>
    </w:p>
    <w:p w:rsidR="0023288B" w:rsidRDefault="0023288B">
      <w:pPr>
        <w:spacing w:line="276" w:lineRule="auto"/>
        <w:jc w:val="both"/>
        <w:rPr>
          <w:rFonts w:ascii="Arial" w:eastAsia="Arial" w:hAnsi="Arial" w:cs="Arial"/>
          <w:sz w:val="24"/>
          <w:szCs w:val="24"/>
        </w:rPr>
      </w:pPr>
    </w:p>
    <w:p w:rsidR="0023288B" w:rsidRDefault="00A0095D">
      <w:pPr>
        <w:spacing w:line="276" w:lineRule="auto"/>
        <w:jc w:val="both"/>
        <w:rPr>
          <w:rFonts w:ascii="Arial" w:eastAsia="Arial" w:hAnsi="Arial" w:cs="Arial"/>
          <w:b/>
          <w:sz w:val="24"/>
          <w:szCs w:val="24"/>
        </w:rPr>
      </w:pPr>
      <w:r>
        <w:rPr>
          <w:rFonts w:ascii="Arial" w:eastAsia="Arial" w:hAnsi="Arial" w:cs="Arial"/>
          <w:b/>
          <w:sz w:val="24"/>
          <w:szCs w:val="24"/>
        </w:rPr>
        <w:t>II. ANTECEDENTES</w:t>
      </w:r>
    </w:p>
    <w:p w:rsidR="0023288B" w:rsidRDefault="00A0095D">
      <w:pPr>
        <w:spacing w:line="276" w:lineRule="auto"/>
        <w:jc w:val="both"/>
        <w:rPr>
          <w:rFonts w:ascii="Arial" w:eastAsia="Arial" w:hAnsi="Arial" w:cs="Arial"/>
          <w:sz w:val="24"/>
          <w:szCs w:val="24"/>
        </w:rPr>
      </w:pPr>
      <w:r>
        <w:rPr>
          <w:rFonts w:ascii="Arial" w:eastAsia="Arial" w:hAnsi="Arial" w:cs="Arial"/>
          <w:sz w:val="24"/>
          <w:szCs w:val="24"/>
        </w:rPr>
        <w:t>En relación con el presente Proyecto de Acuerdo y su eje temático, consultada la Red Interna e Intranet del Concejo de Bogotá se coincide con los autores frente a la relación de proyectos de acuerdo que se discriminan a continuación:</w:t>
      </w:r>
    </w:p>
    <w:tbl>
      <w:tblPr>
        <w:tblStyle w:val="af2"/>
        <w:tblW w:w="8820"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5985"/>
      </w:tblGrid>
      <w:tr w:rsidR="0023288B">
        <w:trPr>
          <w:trHeight w:val="244"/>
        </w:trPr>
        <w:tc>
          <w:tcPr>
            <w:tcW w:w="2835" w:type="dxa"/>
          </w:tcPr>
          <w:p w:rsidR="0023288B" w:rsidRDefault="00A0095D">
            <w:pPr>
              <w:spacing w:line="276" w:lineRule="auto"/>
              <w:jc w:val="center"/>
              <w:rPr>
                <w:rFonts w:ascii="Arial" w:eastAsia="Arial" w:hAnsi="Arial" w:cs="Arial"/>
                <w:b/>
                <w:sz w:val="24"/>
                <w:szCs w:val="24"/>
              </w:rPr>
            </w:pPr>
            <w:r>
              <w:rPr>
                <w:rFonts w:ascii="Arial" w:eastAsia="Arial" w:hAnsi="Arial" w:cs="Arial"/>
                <w:b/>
                <w:sz w:val="24"/>
                <w:szCs w:val="24"/>
              </w:rPr>
              <w:t>Proyecto de Acuerdo</w:t>
            </w:r>
          </w:p>
          <w:p w:rsidR="0023288B" w:rsidRDefault="0023288B">
            <w:pPr>
              <w:spacing w:line="276" w:lineRule="auto"/>
              <w:jc w:val="center"/>
              <w:rPr>
                <w:rFonts w:ascii="Arial" w:eastAsia="Arial" w:hAnsi="Arial" w:cs="Arial"/>
                <w:b/>
                <w:sz w:val="24"/>
                <w:szCs w:val="24"/>
              </w:rPr>
            </w:pPr>
          </w:p>
        </w:tc>
        <w:tc>
          <w:tcPr>
            <w:tcW w:w="5985" w:type="dxa"/>
          </w:tcPr>
          <w:p w:rsidR="0023288B" w:rsidRDefault="00A0095D">
            <w:pPr>
              <w:spacing w:line="276" w:lineRule="auto"/>
              <w:jc w:val="center"/>
              <w:rPr>
                <w:rFonts w:ascii="Arial" w:eastAsia="Arial" w:hAnsi="Arial" w:cs="Arial"/>
                <w:b/>
                <w:sz w:val="24"/>
                <w:szCs w:val="24"/>
              </w:rPr>
            </w:pPr>
            <w:r>
              <w:rPr>
                <w:rFonts w:ascii="Arial" w:eastAsia="Arial" w:hAnsi="Arial" w:cs="Arial"/>
                <w:b/>
                <w:sz w:val="24"/>
                <w:szCs w:val="24"/>
              </w:rPr>
              <w:t>Título</w:t>
            </w:r>
          </w:p>
        </w:tc>
      </w:tr>
      <w:tr w:rsidR="0023288B">
        <w:tc>
          <w:tcPr>
            <w:tcW w:w="2835" w:type="dxa"/>
          </w:tcPr>
          <w:p w:rsidR="0023288B" w:rsidRDefault="00A0095D">
            <w:pPr>
              <w:pStyle w:val="Ttulo2"/>
              <w:keepNext w:val="0"/>
              <w:keepLines w:val="0"/>
              <w:shd w:val="clear" w:color="auto" w:fill="FFFFFF"/>
              <w:spacing w:before="0" w:after="0" w:line="264" w:lineRule="auto"/>
              <w:jc w:val="center"/>
              <w:outlineLvl w:val="1"/>
              <w:rPr>
                <w:rFonts w:ascii="Arial" w:eastAsia="Arial" w:hAnsi="Arial" w:cs="Arial"/>
                <w:sz w:val="24"/>
                <w:szCs w:val="24"/>
              </w:rPr>
            </w:pPr>
            <w:bookmarkStart w:id="1" w:name="_heading=h.p3gfqgfnkvuy" w:colFirst="0" w:colLast="0"/>
            <w:bookmarkEnd w:id="1"/>
            <w:r>
              <w:rPr>
                <w:rFonts w:ascii="Arial" w:eastAsia="Arial" w:hAnsi="Arial" w:cs="Arial"/>
                <w:b w:val="0"/>
                <w:sz w:val="24"/>
                <w:szCs w:val="24"/>
                <w:highlight w:val="white"/>
              </w:rPr>
              <w:t>027 de 2003</w:t>
            </w:r>
          </w:p>
        </w:tc>
        <w:tc>
          <w:tcPr>
            <w:tcW w:w="5985" w:type="dxa"/>
          </w:tcPr>
          <w:p w:rsidR="0023288B" w:rsidRDefault="00A0095D">
            <w:pPr>
              <w:pStyle w:val="Ttulo2"/>
              <w:keepNext w:val="0"/>
              <w:keepLines w:val="0"/>
              <w:shd w:val="clear" w:color="auto" w:fill="FFFFFF"/>
              <w:spacing w:before="0" w:after="0" w:line="264" w:lineRule="auto"/>
              <w:jc w:val="center"/>
              <w:outlineLvl w:val="1"/>
              <w:rPr>
                <w:rFonts w:ascii="Arial" w:eastAsia="Arial" w:hAnsi="Arial" w:cs="Arial"/>
                <w:i/>
                <w:sz w:val="24"/>
                <w:szCs w:val="24"/>
              </w:rPr>
            </w:pPr>
            <w:bookmarkStart w:id="2" w:name="_heading=h.wlbm7ciwmmgs" w:colFirst="0" w:colLast="0"/>
            <w:bookmarkEnd w:id="2"/>
            <w:r>
              <w:rPr>
                <w:rFonts w:ascii="Arial" w:eastAsia="Arial" w:hAnsi="Arial" w:cs="Arial"/>
                <w:b w:val="0"/>
                <w:sz w:val="24"/>
                <w:szCs w:val="24"/>
                <w:highlight w:val="white"/>
              </w:rPr>
              <w:t>Por medio del cual se crea el Consejo Distrital de Fomento de la Lectura y del Libro. Se consagra el día de la Lectura en Bogotá.</w:t>
            </w:r>
          </w:p>
        </w:tc>
      </w:tr>
      <w:tr w:rsidR="0023288B">
        <w:tc>
          <w:tcPr>
            <w:tcW w:w="2835" w:type="dxa"/>
          </w:tcPr>
          <w:p w:rsidR="0023288B" w:rsidRDefault="00A0095D">
            <w:pPr>
              <w:pStyle w:val="Ttulo2"/>
              <w:keepNext w:val="0"/>
              <w:keepLines w:val="0"/>
              <w:shd w:val="clear" w:color="auto" w:fill="FFFFFF"/>
              <w:spacing w:before="0" w:after="0" w:line="264" w:lineRule="auto"/>
              <w:jc w:val="center"/>
              <w:outlineLvl w:val="1"/>
              <w:rPr>
                <w:rFonts w:ascii="Arial" w:eastAsia="Arial" w:hAnsi="Arial" w:cs="Arial"/>
                <w:sz w:val="24"/>
                <w:szCs w:val="24"/>
              </w:rPr>
            </w:pPr>
            <w:bookmarkStart w:id="3" w:name="_heading=h.844xz8nmyw28" w:colFirst="0" w:colLast="0"/>
            <w:bookmarkEnd w:id="3"/>
            <w:r>
              <w:rPr>
                <w:rFonts w:ascii="Arial" w:eastAsia="Arial" w:hAnsi="Arial" w:cs="Arial"/>
                <w:b w:val="0"/>
                <w:sz w:val="24"/>
                <w:szCs w:val="24"/>
                <w:highlight w:val="white"/>
              </w:rPr>
              <w:t>301 de 2015</w:t>
            </w:r>
          </w:p>
        </w:tc>
        <w:tc>
          <w:tcPr>
            <w:tcW w:w="5985" w:type="dxa"/>
          </w:tcPr>
          <w:p w:rsidR="0023288B" w:rsidRDefault="00A0095D">
            <w:pPr>
              <w:pStyle w:val="Ttulo2"/>
              <w:keepNext w:val="0"/>
              <w:keepLines w:val="0"/>
              <w:shd w:val="clear" w:color="auto" w:fill="FFFFFF"/>
              <w:spacing w:before="0" w:after="0" w:line="264" w:lineRule="auto"/>
              <w:jc w:val="center"/>
              <w:outlineLvl w:val="1"/>
              <w:rPr>
                <w:rFonts w:ascii="Arial" w:eastAsia="Arial" w:hAnsi="Arial" w:cs="Arial"/>
                <w:sz w:val="24"/>
                <w:szCs w:val="24"/>
              </w:rPr>
            </w:pPr>
            <w:bookmarkStart w:id="4" w:name="_heading=h.eff6m4o64vf5" w:colFirst="0" w:colLast="0"/>
            <w:bookmarkEnd w:id="4"/>
            <w:r>
              <w:rPr>
                <w:rFonts w:ascii="Arial" w:eastAsia="Arial" w:hAnsi="Arial" w:cs="Arial"/>
                <w:b w:val="0"/>
                <w:sz w:val="24"/>
                <w:szCs w:val="24"/>
                <w:highlight w:val="white"/>
              </w:rPr>
              <w:t>Dotación progresiva de textos escolares a las instituciones educativas oficiales del Distrito Capital.</w:t>
            </w:r>
          </w:p>
        </w:tc>
      </w:tr>
      <w:tr w:rsidR="0023288B">
        <w:tc>
          <w:tcPr>
            <w:tcW w:w="2835" w:type="dxa"/>
          </w:tcPr>
          <w:p w:rsidR="0023288B" w:rsidRDefault="00A0095D">
            <w:pPr>
              <w:pStyle w:val="Ttulo2"/>
              <w:keepNext w:val="0"/>
              <w:keepLines w:val="0"/>
              <w:shd w:val="clear" w:color="auto" w:fill="FFFFFF"/>
              <w:spacing w:before="0" w:after="160" w:line="264" w:lineRule="auto"/>
              <w:jc w:val="center"/>
              <w:outlineLvl w:val="1"/>
              <w:rPr>
                <w:rFonts w:ascii="Arial" w:eastAsia="Arial" w:hAnsi="Arial" w:cs="Arial"/>
                <w:sz w:val="24"/>
                <w:szCs w:val="24"/>
              </w:rPr>
            </w:pPr>
            <w:bookmarkStart w:id="5" w:name="_heading=h.8jjd5buk9dfp" w:colFirst="0" w:colLast="0"/>
            <w:bookmarkEnd w:id="5"/>
            <w:r>
              <w:rPr>
                <w:rFonts w:ascii="Arial" w:eastAsia="Arial" w:hAnsi="Arial" w:cs="Arial"/>
                <w:b w:val="0"/>
                <w:sz w:val="24"/>
                <w:szCs w:val="24"/>
              </w:rPr>
              <w:t>127 de 2016</w:t>
            </w:r>
          </w:p>
        </w:tc>
        <w:tc>
          <w:tcPr>
            <w:tcW w:w="5985" w:type="dxa"/>
          </w:tcPr>
          <w:p w:rsidR="0023288B" w:rsidRDefault="00A0095D">
            <w:pPr>
              <w:pStyle w:val="Ttulo2"/>
              <w:keepNext w:val="0"/>
              <w:keepLines w:val="0"/>
              <w:shd w:val="clear" w:color="auto" w:fill="FFFFFF"/>
              <w:spacing w:before="0" w:after="160" w:line="264" w:lineRule="auto"/>
              <w:jc w:val="center"/>
              <w:outlineLvl w:val="1"/>
              <w:rPr>
                <w:rFonts w:ascii="Arial" w:eastAsia="Arial" w:hAnsi="Arial" w:cs="Arial"/>
                <w:i/>
                <w:sz w:val="24"/>
                <w:szCs w:val="24"/>
              </w:rPr>
            </w:pPr>
            <w:bookmarkStart w:id="6" w:name="_heading=h.z7dp0setzl7o" w:colFirst="0" w:colLast="0"/>
            <w:bookmarkEnd w:id="6"/>
            <w:r>
              <w:rPr>
                <w:rFonts w:ascii="Arial" w:eastAsia="Arial" w:hAnsi="Arial" w:cs="Arial"/>
                <w:b w:val="0"/>
                <w:sz w:val="24"/>
                <w:szCs w:val="24"/>
              </w:rPr>
              <w:t>Por el cual se organiza la Red de Bibliotecas Públicas de Bogotá D.C.</w:t>
            </w:r>
          </w:p>
        </w:tc>
      </w:tr>
    </w:tbl>
    <w:p w:rsidR="0023288B" w:rsidRDefault="0023288B">
      <w:pPr>
        <w:pStyle w:val="Ttulo2"/>
        <w:keepNext w:val="0"/>
        <w:keepLines w:val="0"/>
        <w:shd w:val="clear" w:color="auto" w:fill="FFFFFF"/>
        <w:spacing w:before="0" w:after="160" w:line="264" w:lineRule="auto"/>
        <w:jc w:val="both"/>
        <w:rPr>
          <w:rFonts w:ascii="Arial" w:eastAsia="Arial" w:hAnsi="Arial" w:cs="Arial"/>
          <w:b w:val="0"/>
          <w:sz w:val="24"/>
          <w:szCs w:val="24"/>
          <w:highlight w:val="white"/>
        </w:rPr>
      </w:pPr>
      <w:bookmarkStart w:id="7" w:name="_heading=h.n76f9px08gx1" w:colFirst="0" w:colLast="0"/>
      <w:bookmarkEnd w:id="7"/>
    </w:p>
    <w:p w:rsidR="0023288B" w:rsidRDefault="0023288B">
      <w:pPr>
        <w:spacing w:line="276" w:lineRule="auto"/>
        <w:jc w:val="both"/>
        <w:rPr>
          <w:rFonts w:ascii="Arial" w:eastAsia="Arial" w:hAnsi="Arial" w:cs="Arial"/>
          <w:b/>
          <w:sz w:val="24"/>
          <w:szCs w:val="24"/>
        </w:rPr>
      </w:pPr>
    </w:p>
    <w:p w:rsidR="0023288B" w:rsidRDefault="00A0095D">
      <w:pPr>
        <w:spacing w:line="276" w:lineRule="auto"/>
        <w:jc w:val="both"/>
        <w:rPr>
          <w:rFonts w:ascii="Arial" w:eastAsia="Arial" w:hAnsi="Arial" w:cs="Arial"/>
          <w:b/>
          <w:sz w:val="24"/>
          <w:szCs w:val="24"/>
        </w:rPr>
      </w:pPr>
      <w:r>
        <w:rPr>
          <w:rFonts w:ascii="Arial" w:eastAsia="Arial" w:hAnsi="Arial" w:cs="Arial"/>
          <w:b/>
          <w:sz w:val="24"/>
          <w:szCs w:val="24"/>
        </w:rPr>
        <w:t>III. JUSTIFICACIÓN Y ANÁLISIS DE CONVENIENCIA DEL PROYECTO</w:t>
      </w:r>
    </w:p>
    <w:p w:rsidR="0023288B" w:rsidRDefault="00A0095D">
      <w:pPr>
        <w:spacing w:line="276" w:lineRule="auto"/>
        <w:jc w:val="both"/>
        <w:rPr>
          <w:rFonts w:ascii="Arial" w:eastAsia="Arial" w:hAnsi="Arial" w:cs="Arial"/>
          <w:sz w:val="24"/>
          <w:szCs w:val="24"/>
        </w:rPr>
      </w:pPr>
      <w:r>
        <w:rPr>
          <w:rFonts w:ascii="Arial" w:eastAsia="Arial" w:hAnsi="Arial" w:cs="Arial"/>
          <w:sz w:val="24"/>
          <w:szCs w:val="24"/>
        </w:rPr>
        <w:t>El autor justifica la iniciativa estableciendo que la lectura es un hábito de comunicación que permite desarrollar los pensamientos cognitivos e interactivos de cualquier lector. Ayuda al fortalecimiento del lenguaje y la expresión escrita y oral, permite exponer pensamientos propios y aumenta la capacidad de pensar. Es por esto, que los estudiantes deben incorporar desde una edad temprana el hábito de la lectura ya que es el camino al conocimiento y la participación activa de la mente. Los menores de edad cada vez leen menos, no hay interés debido a los avances tecnológicos y las distintas actividades de entretenimiento que no incluyen los libros. Para despertar este hábito es necesario implementar en el día a día herramientas para que las niñas, niños y adolescentes escojan los libros de acuerdo a sus intereses y así aumentar la lectura diaria sin que sea considerada como una obligación académica de las escuelas.</w:t>
      </w:r>
    </w:p>
    <w:p w:rsidR="0023288B" w:rsidRDefault="00A0095D">
      <w:pPr>
        <w:spacing w:before="240" w:after="240" w:line="276" w:lineRule="auto"/>
        <w:jc w:val="both"/>
        <w:rPr>
          <w:rFonts w:ascii="Arial" w:eastAsia="Arial" w:hAnsi="Arial" w:cs="Arial"/>
          <w:sz w:val="24"/>
          <w:szCs w:val="24"/>
        </w:rPr>
      </w:pPr>
      <w:r>
        <w:rPr>
          <w:rFonts w:ascii="Arial" w:eastAsia="Arial" w:hAnsi="Arial" w:cs="Arial"/>
          <w:sz w:val="24"/>
          <w:szCs w:val="24"/>
        </w:rPr>
        <w:t>Implementar un día dedicado a la lectura sin tener que ser una obligación académica calificable, permite desarrollar el hábito de lectura, las habilidades cognitivas, el uso correcto del lenguaje y demás habilidades sociales. Por esto el “</w:t>
      </w:r>
      <w:r>
        <w:rPr>
          <w:rFonts w:ascii="Arial" w:eastAsia="Arial" w:hAnsi="Arial" w:cs="Arial"/>
          <w:i/>
          <w:sz w:val="24"/>
          <w:szCs w:val="24"/>
        </w:rPr>
        <w:t>Día de la Lectura”</w:t>
      </w:r>
      <w:r>
        <w:rPr>
          <w:rFonts w:ascii="Arial" w:eastAsia="Arial" w:hAnsi="Arial" w:cs="Arial"/>
          <w:sz w:val="24"/>
          <w:szCs w:val="24"/>
        </w:rPr>
        <w:t xml:space="preserve"> es una de las alternativas que tienen las instituciones educativas para mejorar las habilidades individuales de cada estudiante y así mismo, obtener mejores resultados académicos, que se traducen en profesionales con mejor formación que contribuyen al desarrollo económico de la ciudad.</w:t>
      </w:r>
    </w:p>
    <w:p w:rsidR="0023288B" w:rsidRDefault="00A0095D">
      <w:pPr>
        <w:spacing w:before="240" w:after="240" w:line="276" w:lineRule="auto"/>
        <w:jc w:val="both"/>
        <w:rPr>
          <w:rFonts w:ascii="Arial" w:eastAsia="Arial" w:hAnsi="Arial" w:cs="Arial"/>
          <w:sz w:val="24"/>
          <w:szCs w:val="24"/>
        </w:rPr>
      </w:pPr>
      <w:r>
        <w:rPr>
          <w:rFonts w:ascii="Arial" w:eastAsia="Arial" w:hAnsi="Arial" w:cs="Arial"/>
          <w:sz w:val="24"/>
          <w:szCs w:val="24"/>
        </w:rPr>
        <w:t>La lectura resulta beneficiosa para todas las personas, pero tiene una especial importancia para la temprana edad, pues ayuda a los menores a desarrollar el lenguaje, mejorar su comprensión, favorece el desarrollo cognitivo, memoria, concentración, creatividad, entre otros. La lectura de los estudiantes cada vez es menor, bien sea porque el propósito de esta es de carácter instruccional, que depende de una obligación académica o por la digitalización del entretenimiento. Según el informe “</w:t>
      </w:r>
      <w:r>
        <w:rPr>
          <w:rFonts w:ascii="Arial" w:eastAsia="Arial" w:hAnsi="Arial" w:cs="Arial"/>
          <w:i/>
          <w:sz w:val="24"/>
          <w:szCs w:val="24"/>
        </w:rPr>
        <w:t>Jóvenes en línea</w:t>
      </w:r>
      <w:r>
        <w:rPr>
          <w:rFonts w:ascii="Arial" w:eastAsia="Arial" w:hAnsi="Arial" w:cs="Arial"/>
          <w:sz w:val="24"/>
          <w:szCs w:val="24"/>
        </w:rPr>
        <w:t xml:space="preserve">”, que encuestó a 6.070 niños, niñas y adolescentes entre 10 y 18 años, en 111 instituciones educativas del país (el 61% de estas del sector oficial), en Colombia los menores de edad pasan hasta 10 horas </w:t>
      </w:r>
      <w:r>
        <w:rPr>
          <w:rFonts w:ascii="Arial" w:eastAsia="Arial" w:hAnsi="Arial" w:cs="Arial"/>
          <w:sz w:val="24"/>
          <w:szCs w:val="24"/>
        </w:rPr>
        <w:lastRenderedPageBreak/>
        <w:t xml:space="preserve">al día en redes sociales y plataformas de </w:t>
      </w:r>
      <w:r>
        <w:rPr>
          <w:rFonts w:ascii="Arial" w:eastAsia="Arial" w:hAnsi="Arial" w:cs="Arial"/>
          <w:i/>
          <w:sz w:val="24"/>
          <w:szCs w:val="24"/>
        </w:rPr>
        <w:t>streaming</w:t>
      </w:r>
      <w:r>
        <w:rPr>
          <w:rFonts w:ascii="Arial" w:eastAsia="Arial" w:hAnsi="Arial" w:cs="Arial"/>
          <w:sz w:val="24"/>
          <w:szCs w:val="24"/>
        </w:rPr>
        <w:t xml:space="preserve"> por gusto y comodidad, solo el 16% de los encuestados ven contenido digital por fines informativos</w:t>
      </w:r>
      <w:r>
        <w:rPr>
          <w:rFonts w:ascii="Arial" w:eastAsia="Arial" w:hAnsi="Arial" w:cs="Arial"/>
          <w:sz w:val="24"/>
          <w:szCs w:val="24"/>
          <w:vertAlign w:val="superscript"/>
        </w:rPr>
        <w:footnoteReference w:id="1"/>
      </w:r>
      <w:r>
        <w:rPr>
          <w:rFonts w:ascii="Arial" w:eastAsia="Arial" w:hAnsi="Arial" w:cs="Arial"/>
          <w:sz w:val="24"/>
          <w:szCs w:val="24"/>
        </w:rPr>
        <w:t xml:space="preserve">. </w:t>
      </w:r>
    </w:p>
    <w:p w:rsidR="0023288B" w:rsidRDefault="00A0095D">
      <w:pPr>
        <w:spacing w:before="240" w:after="240" w:line="276" w:lineRule="auto"/>
        <w:jc w:val="both"/>
        <w:rPr>
          <w:rFonts w:ascii="Arial" w:eastAsia="Arial" w:hAnsi="Arial" w:cs="Arial"/>
          <w:sz w:val="24"/>
          <w:szCs w:val="24"/>
        </w:rPr>
      </w:pPr>
      <w:r>
        <w:rPr>
          <w:rFonts w:ascii="Arial" w:eastAsia="Arial" w:hAnsi="Arial" w:cs="Arial"/>
          <w:sz w:val="24"/>
          <w:szCs w:val="24"/>
        </w:rPr>
        <w:t>En comparación con los datos más recientes publicados en la Encuesta de Calidad de Vida (2022) del DANE, se establece que de los 10 millones de menores de edad que registra el país, el 73,3% manifestaron no leer libros por fuera de la jornada escolar, mientras el 26,7% si lo hace</w:t>
      </w:r>
      <w:r>
        <w:rPr>
          <w:rFonts w:ascii="Arial" w:eastAsia="Arial" w:hAnsi="Arial" w:cs="Arial"/>
          <w:sz w:val="24"/>
          <w:szCs w:val="24"/>
          <w:vertAlign w:val="superscript"/>
        </w:rPr>
        <w:footnoteReference w:id="2"/>
      </w:r>
      <w:r>
        <w:rPr>
          <w:rFonts w:ascii="Arial" w:eastAsia="Arial" w:hAnsi="Arial" w:cs="Arial"/>
          <w:sz w:val="24"/>
          <w:szCs w:val="24"/>
        </w:rPr>
        <w:t xml:space="preserve">. </w:t>
      </w:r>
    </w:p>
    <w:p w:rsidR="0023288B" w:rsidRDefault="00A0095D">
      <w:pPr>
        <w:spacing w:before="240" w:after="240" w:line="276" w:lineRule="auto"/>
        <w:jc w:val="both"/>
        <w:rPr>
          <w:rFonts w:ascii="Arial" w:eastAsia="Arial" w:hAnsi="Arial" w:cs="Arial"/>
          <w:sz w:val="24"/>
          <w:szCs w:val="24"/>
        </w:rPr>
      </w:pPr>
      <w:r>
        <w:rPr>
          <w:rFonts w:ascii="Arial" w:eastAsia="Arial" w:hAnsi="Arial" w:cs="Arial"/>
          <w:sz w:val="24"/>
          <w:szCs w:val="24"/>
        </w:rPr>
        <w:t xml:space="preserve">Con base en los resultados de las pruebas </w:t>
      </w:r>
      <w:r>
        <w:rPr>
          <w:rFonts w:ascii="Arial" w:eastAsia="Arial" w:hAnsi="Arial" w:cs="Arial"/>
          <w:i/>
          <w:sz w:val="24"/>
          <w:szCs w:val="24"/>
        </w:rPr>
        <w:t xml:space="preserve">Saber 11 </w:t>
      </w:r>
      <w:r>
        <w:rPr>
          <w:rFonts w:ascii="Arial" w:eastAsia="Arial" w:hAnsi="Arial" w:cs="Arial"/>
          <w:sz w:val="24"/>
          <w:szCs w:val="24"/>
        </w:rPr>
        <w:t>para el año 2023, el 21,5% de los estudiantes evaluados de calendario A en el país manifiestan no leer por entretenimiento, el 38% leen entre 30 minutos o menos, el 26% entre 30 y 60 minutos, el 10,2% entre 1 y 2 horas y el 4,4% más de 2 horas. Es decir, 2 de cada 10 estudiantes no leen, 1 de cada 10 lee entre 1 y 2 horas</w:t>
      </w:r>
      <w:r>
        <w:rPr>
          <w:rFonts w:ascii="Arial" w:eastAsia="Arial" w:hAnsi="Arial" w:cs="Arial"/>
          <w:sz w:val="24"/>
          <w:szCs w:val="24"/>
          <w:vertAlign w:val="superscript"/>
        </w:rPr>
        <w:footnoteReference w:id="3"/>
      </w:r>
      <w:r>
        <w:rPr>
          <w:rFonts w:ascii="Arial" w:eastAsia="Arial" w:hAnsi="Arial" w:cs="Arial"/>
          <w:sz w:val="24"/>
          <w:szCs w:val="24"/>
        </w:rPr>
        <w:t xml:space="preserve">. </w:t>
      </w:r>
    </w:p>
    <w:p w:rsidR="0023288B" w:rsidRDefault="00A0095D">
      <w:pPr>
        <w:spacing w:before="240" w:after="240" w:line="276" w:lineRule="auto"/>
        <w:jc w:val="both"/>
        <w:rPr>
          <w:rFonts w:ascii="Arial" w:eastAsia="Arial" w:hAnsi="Arial" w:cs="Arial"/>
          <w:sz w:val="24"/>
          <w:szCs w:val="24"/>
        </w:rPr>
      </w:pPr>
      <w:r>
        <w:rPr>
          <w:rFonts w:ascii="Arial" w:eastAsia="Arial" w:hAnsi="Arial" w:cs="Arial"/>
          <w:sz w:val="24"/>
          <w:szCs w:val="24"/>
        </w:rPr>
        <w:t>Los informes realizados por la el Laboratorio de Economía de la Educación de la Pontificia Universidad Javeriana, indican que es importante practicar diariamente la lectura y fortalecer estas habilidades desde temprana edad para evitar rezagos que los estudiantes llevan consigo durante su trayectoria educativa y que puede afectar su desempeño académico y su futura vida profesional. Así mismo, la UNESCO (2010), informa que la inversión en lectura es sumamente importante para el desarrollo de la capacidad cognitiva, la alfabetización y el pensamiento crítico de niños y niñas, generando un mayor rendimiento académico y habilidades necesarias para el mundo laboral</w:t>
      </w:r>
      <w:r>
        <w:rPr>
          <w:rFonts w:ascii="Arial" w:eastAsia="Arial" w:hAnsi="Arial" w:cs="Arial"/>
          <w:sz w:val="24"/>
          <w:szCs w:val="24"/>
          <w:vertAlign w:val="superscript"/>
        </w:rPr>
        <w:footnoteReference w:id="4"/>
      </w:r>
      <w:r>
        <w:rPr>
          <w:rFonts w:ascii="Arial" w:eastAsia="Arial" w:hAnsi="Arial" w:cs="Arial"/>
          <w:sz w:val="24"/>
          <w:szCs w:val="24"/>
        </w:rPr>
        <w:t>. Es decir, la inversión en la lectura no solo tiene consecuencias positivas a nivel personal, sino también en el desarrollo económico del país.</w:t>
      </w:r>
    </w:p>
    <w:p w:rsidR="0023288B" w:rsidRDefault="00A0095D">
      <w:pPr>
        <w:spacing w:before="240" w:after="240" w:line="276" w:lineRule="auto"/>
        <w:jc w:val="both"/>
        <w:rPr>
          <w:rFonts w:ascii="Arial" w:eastAsia="Arial" w:hAnsi="Arial" w:cs="Arial"/>
          <w:sz w:val="24"/>
          <w:szCs w:val="24"/>
        </w:rPr>
      </w:pPr>
      <w:r>
        <w:rPr>
          <w:rFonts w:ascii="Arial" w:eastAsia="Arial" w:hAnsi="Arial" w:cs="Arial"/>
          <w:sz w:val="24"/>
          <w:szCs w:val="24"/>
        </w:rPr>
        <w:t xml:space="preserve">La Política Pública de Lectura, Escritura y Oralidad “LEO” centra sus acciones de fomento de la lectura de los ciudadanos en el mejoramiento de la infraestructura de las Bibliotecas Públicas del Distrito. Sin embargo, en algunos de sus informes, se establece que las personas no acuden a las bibliotecas o no leen por las siguientes razones: el 18% de las personas no asisten debido a que los espacios bibliotecarios </w:t>
      </w:r>
      <w:r>
        <w:rPr>
          <w:rFonts w:ascii="Arial" w:eastAsia="Arial" w:hAnsi="Arial" w:cs="Arial"/>
          <w:sz w:val="24"/>
          <w:szCs w:val="24"/>
        </w:rPr>
        <w:lastRenderedPageBreak/>
        <w:t>no son adecuados, el 38% no asisten por desinterés, el 57% de las personas no leen por falta de tiempo y un 10% no lee a causa de problemas de visión</w:t>
      </w:r>
      <w:r>
        <w:rPr>
          <w:rFonts w:ascii="Arial" w:eastAsia="Arial" w:hAnsi="Arial" w:cs="Arial"/>
          <w:sz w:val="24"/>
          <w:szCs w:val="24"/>
          <w:vertAlign w:val="superscript"/>
        </w:rPr>
        <w:footnoteReference w:id="5"/>
      </w:r>
      <w:r>
        <w:rPr>
          <w:rFonts w:ascii="Arial" w:eastAsia="Arial" w:hAnsi="Arial" w:cs="Arial"/>
          <w:sz w:val="24"/>
          <w:szCs w:val="24"/>
        </w:rPr>
        <w:t xml:space="preserve">. </w:t>
      </w:r>
    </w:p>
    <w:p w:rsidR="0023288B" w:rsidRDefault="0023288B">
      <w:pPr>
        <w:spacing w:before="240" w:after="240" w:line="276" w:lineRule="auto"/>
        <w:jc w:val="both"/>
        <w:rPr>
          <w:rFonts w:ascii="Arial" w:eastAsia="Arial" w:hAnsi="Arial" w:cs="Arial"/>
          <w:sz w:val="24"/>
          <w:szCs w:val="24"/>
          <w:highlight w:val="yellow"/>
        </w:rPr>
      </w:pPr>
    </w:p>
    <w:p w:rsidR="0023288B" w:rsidRDefault="00A0095D">
      <w:pPr>
        <w:spacing w:before="240" w:after="240" w:line="276" w:lineRule="auto"/>
        <w:jc w:val="both"/>
        <w:rPr>
          <w:rFonts w:ascii="Arial" w:eastAsia="Arial" w:hAnsi="Arial" w:cs="Arial"/>
          <w:sz w:val="24"/>
          <w:szCs w:val="24"/>
        </w:rPr>
      </w:pPr>
      <w:r>
        <w:rPr>
          <w:rFonts w:ascii="Arial" w:eastAsia="Arial" w:hAnsi="Arial" w:cs="Arial"/>
          <w:sz w:val="24"/>
          <w:szCs w:val="24"/>
        </w:rPr>
        <w:t>Como se indicó anteriormente, los hábitos de lectura están relacionados con el desarrollo de este en edades tempranas y de la oferta que haya en el sector educativo, aspectos que han sido desatendidos por las entidades responsables y sus políticas públicas. Además de la problemática evidenciada en la parte académica, las acciones de la política pública están enfocados en fomentar la participación ciudadana en los espacios culturales de la ciudad, dejando a un lado otras acciones que traiga buenos resultados entre la población. El índice de libros leídos por persona en Colombia es de apenas 0,09 según los indicadores  “</w:t>
      </w:r>
      <w:r>
        <w:rPr>
          <w:rFonts w:ascii="Arial" w:eastAsia="Arial" w:hAnsi="Arial" w:cs="Arial"/>
          <w:i/>
          <w:sz w:val="24"/>
          <w:szCs w:val="24"/>
        </w:rPr>
        <w:t>International Federation of Library Associations and Institutions”</w:t>
      </w:r>
      <w:r>
        <w:rPr>
          <w:rFonts w:ascii="Arial" w:eastAsia="Arial" w:hAnsi="Arial" w:cs="Arial"/>
          <w:sz w:val="24"/>
          <w:szCs w:val="24"/>
        </w:rPr>
        <w:t xml:space="preserve"> (IFLA), mientras que la Unesco establece un promedio recomendado de entre 1,5 y 2,5 libros por persona.</w:t>
      </w:r>
    </w:p>
    <w:p w:rsidR="0023288B" w:rsidRDefault="00A0095D">
      <w:pPr>
        <w:spacing w:before="240" w:after="240" w:line="276" w:lineRule="auto"/>
        <w:jc w:val="both"/>
        <w:rPr>
          <w:rFonts w:ascii="Arial" w:eastAsia="Arial" w:hAnsi="Arial" w:cs="Arial"/>
          <w:sz w:val="24"/>
          <w:szCs w:val="24"/>
        </w:rPr>
      </w:pPr>
      <w:r>
        <w:rPr>
          <w:rFonts w:ascii="Arial" w:eastAsia="Arial" w:hAnsi="Arial" w:cs="Arial"/>
          <w:sz w:val="24"/>
          <w:szCs w:val="24"/>
        </w:rPr>
        <w:t>En las pruebas PISA del 2022 (realizadas por la OCDE), Bogotá obtuvo un puntaje de 462 en lectura, lo que representa un aumento de 7 puntos en comparación con las pruebas de 2018, si bien representa un puntaje mayor al promedio de la Nación, esto no significa que sea un buen puntaje,teniendo en cuenta el puntaje de otros países que pertenecen a esta organización. Los resultados de la medición internacional dan muestra de la necesidad de realizar cambios en los planes de lectura de las instituciones educativas.</w:t>
      </w:r>
    </w:p>
    <w:p w:rsidR="0023288B" w:rsidRDefault="00A0095D">
      <w:pPr>
        <w:spacing w:before="240" w:after="240" w:line="276" w:lineRule="auto"/>
        <w:jc w:val="both"/>
        <w:rPr>
          <w:rFonts w:ascii="Arial" w:eastAsia="Arial" w:hAnsi="Arial" w:cs="Arial"/>
          <w:sz w:val="24"/>
          <w:szCs w:val="24"/>
          <w:highlight w:val="yellow"/>
        </w:rPr>
      </w:pPr>
      <w:r>
        <w:rPr>
          <w:rFonts w:ascii="Arial" w:eastAsia="Arial" w:hAnsi="Arial" w:cs="Arial"/>
          <w:sz w:val="24"/>
          <w:szCs w:val="24"/>
        </w:rPr>
        <w:t>El Plan Distrital de Desarrollo no establece ningún tipo de política, programa o acción que fomente la lectura en las instituciones educativas del Distrito, es por esto que se necesita del diseño de planes focalizados en el fomento de habilidades lectoras desde temprana edad, garantizar el acceso a libros de distintos tipos, no solo académicos. En última instancia, es fundamental comprender la lectura como una inversión: fortalecer el rendimiento académico y las habilidades de los estudiantes a través de la lectura implica mejoras sustanciales en la productividad laboral de los futuros profesionales, lo que a su vez se traduce en un aumento del desarrollo económico de la ciudad.</w:t>
      </w:r>
    </w:p>
    <w:p w:rsidR="0023288B" w:rsidRDefault="00A0095D">
      <w:pPr>
        <w:spacing w:before="240" w:after="240" w:line="276" w:lineRule="auto"/>
        <w:jc w:val="both"/>
        <w:rPr>
          <w:rFonts w:ascii="Arial" w:eastAsia="Arial" w:hAnsi="Arial" w:cs="Arial"/>
          <w:sz w:val="24"/>
          <w:szCs w:val="24"/>
        </w:rPr>
      </w:pPr>
      <w:r>
        <w:rPr>
          <w:rFonts w:ascii="Arial" w:eastAsia="Arial" w:hAnsi="Arial" w:cs="Arial"/>
          <w:sz w:val="24"/>
          <w:szCs w:val="24"/>
        </w:rPr>
        <w:lastRenderedPageBreak/>
        <w:t>La Cámara Colombiana del Libro informó que los colombianos mayores de 18 años leyeron en 2023 un promedio de 3,5 libros, 75% libros en formato impreso, digital o audiolibro, 54% en redes sociales, 38% páginas web, 37% periódicos, 34% revistas, 19% blogs y 16% comics. El respectivo estudio muestra que el 58% de las personas compran libros en las diferentes librerías, 32% los compran de manera informal en la calle, 25% en ferias del libro y 15% los compran usados. El mismo informe indica que solo el 21% de todos los encuestados visita bibliotecas y lo hacen de forma muy irregular.</w:t>
      </w:r>
    </w:p>
    <w:p w:rsidR="0023288B" w:rsidRDefault="00A0095D">
      <w:pPr>
        <w:spacing w:before="240" w:after="240" w:line="276" w:lineRule="auto"/>
        <w:jc w:val="both"/>
        <w:rPr>
          <w:rFonts w:ascii="Arial" w:eastAsia="Arial" w:hAnsi="Arial" w:cs="Arial"/>
          <w:sz w:val="24"/>
          <w:szCs w:val="24"/>
        </w:rPr>
      </w:pPr>
      <w:r>
        <w:rPr>
          <w:rFonts w:ascii="Arial" w:eastAsia="Arial" w:hAnsi="Arial" w:cs="Arial"/>
          <w:sz w:val="24"/>
          <w:szCs w:val="24"/>
        </w:rPr>
        <w:t>El artículo estadístico “Para leer un país” del Ministerio de Educación publicado en 2007, muestra que los gustos de la lectura son tan amplios que los ciudadanos deciden leer entre diferentes géneros literarios según sus intereses. Las obras literarias son las más leídas con un 35,1%, los libros de autoayuda 11,2%, textos académicos 24% y libros científicos 12%. El Distrito debe enfocar acciones para el fomento de la lectura, no solo en el fortalecimiento de bibliotecas públicas, sino destinando recursos en la educación, planes funcionales, dotación de diversos géneros literarios y toda propuesta que enriquezca la cultura lectora de los niños, niñas y adolescentes.</w:t>
      </w:r>
    </w:p>
    <w:p w:rsidR="0023288B" w:rsidRDefault="00A0095D">
      <w:pPr>
        <w:spacing w:before="240" w:after="240" w:line="276" w:lineRule="auto"/>
        <w:jc w:val="both"/>
        <w:rPr>
          <w:rFonts w:ascii="Arial" w:eastAsia="Arial" w:hAnsi="Arial" w:cs="Arial"/>
          <w:sz w:val="24"/>
          <w:szCs w:val="24"/>
        </w:rPr>
      </w:pPr>
      <w:r>
        <w:rPr>
          <w:rFonts w:ascii="Arial" w:eastAsia="Arial" w:hAnsi="Arial" w:cs="Arial"/>
          <w:sz w:val="24"/>
          <w:szCs w:val="24"/>
        </w:rPr>
        <w:t xml:space="preserve">Los factores mencionados anteriormente resaltan la importancia de implementar políticas públicas que fomenten el desarrollo de habilidades lectoras en los colegios tanto públicos como privados. La integración del proyecto </w:t>
      </w:r>
      <w:r>
        <w:rPr>
          <w:rFonts w:ascii="Arial" w:eastAsia="Arial" w:hAnsi="Arial" w:cs="Arial"/>
          <w:i/>
          <w:sz w:val="24"/>
          <w:szCs w:val="24"/>
        </w:rPr>
        <w:t xml:space="preserve">“Día de la lectura” </w:t>
      </w:r>
      <w:r>
        <w:rPr>
          <w:rFonts w:ascii="Arial" w:eastAsia="Arial" w:hAnsi="Arial" w:cs="Arial"/>
          <w:sz w:val="24"/>
          <w:szCs w:val="24"/>
        </w:rPr>
        <w:t>es un espacio que permitirá a los estudiantes, fomentar sus habilidades lectoras, incentivar la creatividad y despertar el interés de estos en temas que verdaderamente les apasiona. No basta con leer solo por un requerimiento académico, buscar espacios en las aulas que no necesariamente supongan una evaluación de comprensión lectora pueden servir para despertar el gusto por la lectura y transformarla en un hábito constante del diario vivir de las personas en formación de nuestra ciudad.</w:t>
      </w:r>
    </w:p>
    <w:p w:rsidR="0023288B" w:rsidRDefault="0023288B">
      <w:pPr>
        <w:spacing w:before="240" w:after="240" w:line="276" w:lineRule="auto"/>
        <w:jc w:val="both"/>
        <w:rPr>
          <w:rFonts w:ascii="Arial" w:eastAsia="Arial" w:hAnsi="Arial" w:cs="Arial"/>
          <w:sz w:val="24"/>
          <w:szCs w:val="24"/>
        </w:rPr>
      </w:pPr>
    </w:p>
    <w:p w:rsidR="0023288B" w:rsidRDefault="00A0095D">
      <w:pPr>
        <w:spacing w:before="240" w:after="240" w:line="276" w:lineRule="auto"/>
        <w:jc w:val="both"/>
        <w:rPr>
          <w:rFonts w:ascii="Arial" w:eastAsia="Arial" w:hAnsi="Arial" w:cs="Arial"/>
          <w:b/>
          <w:sz w:val="24"/>
          <w:szCs w:val="24"/>
          <w:highlight w:val="yellow"/>
        </w:rPr>
      </w:pPr>
      <w:r>
        <w:rPr>
          <w:rFonts w:ascii="Arial" w:eastAsia="Arial" w:hAnsi="Arial" w:cs="Arial"/>
          <w:b/>
          <w:sz w:val="24"/>
          <w:szCs w:val="24"/>
        </w:rPr>
        <w:t>IV. MARCO NORMATIVO</w:t>
      </w:r>
    </w:p>
    <w:p w:rsidR="0023288B" w:rsidRDefault="00A0095D">
      <w:pPr>
        <w:spacing w:after="0" w:line="276" w:lineRule="auto"/>
        <w:jc w:val="both"/>
        <w:rPr>
          <w:rFonts w:ascii="Arial" w:eastAsia="Arial" w:hAnsi="Arial" w:cs="Arial"/>
          <w:sz w:val="24"/>
          <w:szCs w:val="24"/>
        </w:rPr>
      </w:pPr>
      <w:r>
        <w:rPr>
          <w:rFonts w:ascii="Arial" w:eastAsia="Arial" w:hAnsi="Arial" w:cs="Arial"/>
          <w:sz w:val="24"/>
          <w:szCs w:val="24"/>
        </w:rPr>
        <w:t>Dentro del marco normativo que sustenta el presente Proyecto de Acuerdo, podrían resaltarse las siguientes:</w:t>
      </w:r>
    </w:p>
    <w:p w:rsidR="0023288B" w:rsidRDefault="0023288B">
      <w:pPr>
        <w:spacing w:after="0" w:line="276" w:lineRule="auto"/>
        <w:jc w:val="both"/>
        <w:rPr>
          <w:rFonts w:ascii="Arial" w:eastAsia="Arial" w:hAnsi="Arial" w:cs="Arial"/>
          <w:sz w:val="24"/>
          <w:szCs w:val="24"/>
        </w:rPr>
      </w:pPr>
    </w:p>
    <w:p w:rsidR="0023288B" w:rsidRDefault="00A0095D">
      <w:pPr>
        <w:numPr>
          <w:ilvl w:val="0"/>
          <w:numId w:val="5"/>
        </w:numPr>
        <w:spacing w:after="0" w:line="276" w:lineRule="auto"/>
        <w:jc w:val="both"/>
        <w:rPr>
          <w:rFonts w:ascii="Arial" w:eastAsia="Arial" w:hAnsi="Arial" w:cs="Arial"/>
          <w:b/>
          <w:i/>
          <w:sz w:val="24"/>
          <w:szCs w:val="24"/>
        </w:rPr>
      </w:pPr>
      <w:r>
        <w:rPr>
          <w:rFonts w:ascii="Arial" w:eastAsia="Arial" w:hAnsi="Arial" w:cs="Arial"/>
          <w:b/>
          <w:i/>
          <w:sz w:val="24"/>
          <w:szCs w:val="24"/>
        </w:rPr>
        <w:t>DE RANGO INTERNACIONAL}</w:t>
      </w:r>
    </w:p>
    <w:p w:rsidR="0023288B" w:rsidRDefault="0023288B">
      <w:pPr>
        <w:spacing w:after="0" w:line="276" w:lineRule="auto"/>
        <w:jc w:val="both"/>
        <w:rPr>
          <w:rFonts w:ascii="Arial" w:eastAsia="Arial" w:hAnsi="Arial" w:cs="Arial"/>
          <w:b/>
          <w:i/>
          <w:sz w:val="24"/>
          <w:szCs w:val="24"/>
        </w:rPr>
      </w:pPr>
    </w:p>
    <w:p w:rsidR="0023288B" w:rsidRDefault="00A0095D">
      <w:pPr>
        <w:numPr>
          <w:ilvl w:val="0"/>
          <w:numId w:val="12"/>
        </w:numPr>
        <w:spacing w:after="0" w:line="276" w:lineRule="auto"/>
        <w:jc w:val="both"/>
        <w:rPr>
          <w:rFonts w:ascii="Arial" w:eastAsia="Arial" w:hAnsi="Arial" w:cs="Arial"/>
          <w:sz w:val="24"/>
          <w:szCs w:val="24"/>
        </w:rPr>
      </w:pPr>
      <w:r>
        <w:rPr>
          <w:rFonts w:ascii="Arial" w:eastAsia="Arial" w:hAnsi="Arial" w:cs="Arial"/>
          <w:sz w:val="24"/>
          <w:szCs w:val="24"/>
        </w:rPr>
        <w:t xml:space="preserve">Este proyecto de acuerdo se encuentra alineado con los siguientes Objetivos de Desarrollo Sostenible (ODS): </w:t>
      </w:r>
    </w:p>
    <w:p w:rsidR="0023288B" w:rsidRDefault="0023288B">
      <w:pPr>
        <w:spacing w:after="0" w:line="276" w:lineRule="auto"/>
        <w:jc w:val="both"/>
        <w:rPr>
          <w:rFonts w:ascii="Arial" w:eastAsia="Arial" w:hAnsi="Arial" w:cs="Arial"/>
          <w:sz w:val="24"/>
          <w:szCs w:val="24"/>
        </w:rPr>
      </w:pPr>
    </w:p>
    <w:p w:rsidR="0023288B" w:rsidRDefault="00A0095D">
      <w:pPr>
        <w:spacing w:after="0" w:line="276" w:lineRule="auto"/>
        <w:jc w:val="both"/>
        <w:rPr>
          <w:rFonts w:ascii="Arial" w:eastAsia="Arial" w:hAnsi="Arial" w:cs="Arial"/>
          <w:sz w:val="24"/>
          <w:szCs w:val="24"/>
          <w:highlight w:val="white"/>
        </w:rPr>
      </w:pPr>
      <w:r>
        <w:rPr>
          <w:rFonts w:ascii="Arial" w:eastAsia="Arial" w:hAnsi="Arial" w:cs="Arial"/>
          <w:b/>
          <w:sz w:val="24"/>
          <w:szCs w:val="24"/>
        </w:rPr>
        <w:t>ODS N°4: Educación de calidad.</w:t>
      </w:r>
      <w:r>
        <w:rPr>
          <w:rFonts w:ascii="Arial" w:eastAsia="Arial" w:hAnsi="Arial" w:cs="Arial"/>
          <w:sz w:val="24"/>
          <w:szCs w:val="24"/>
        </w:rPr>
        <w:t xml:space="preserve"> Meta 4.1 “</w:t>
      </w:r>
      <w:r>
        <w:rPr>
          <w:rFonts w:ascii="Arial" w:eastAsia="Arial" w:hAnsi="Arial" w:cs="Arial"/>
          <w:sz w:val="24"/>
          <w:szCs w:val="24"/>
          <w:highlight w:val="white"/>
        </w:rPr>
        <w:t>De aquí a 2030, asegurar que todas las niñas y todos los niños terminen la enseñanza primaria y secundaria, que ha de ser gratuita, equitativa y de calidad y producir resultados de aprendizaje pertinentes y efectivos”, Meta 4.4 “De aquí a 2030, aumentar considerablemente el número de jóvenes y adultos que tienen las competencias necesarias, en particular técnicas y profesionales, para acceder al empleo, el trabajo decente y el emprendimiento”, y Meta 4.7 “De aquí a 2030, asegurar que todos los alumnos adquieran los conocimientos teóricos y prácticos necesarios para promover el desarrollo sostenible, entre otras cosas mediante la educación para el desarrollo sostenible y los estilos de vida sostenibles, los derechos humanos, la igualdad de género, la promoción de una cultura de paz y no violencia, la ciudadanía mundial y la valoración de la diversidad cultural y la contribución de la cultura al desarrollo sostenible”.</w:t>
      </w:r>
    </w:p>
    <w:p w:rsidR="0023288B" w:rsidRDefault="0023288B">
      <w:pPr>
        <w:spacing w:after="0" w:line="276" w:lineRule="auto"/>
        <w:jc w:val="both"/>
        <w:rPr>
          <w:rFonts w:ascii="Arial" w:eastAsia="Arial" w:hAnsi="Arial" w:cs="Arial"/>
          <w:sz w:val="24"/>
          <w:szCs w:val="24"/>
          <w:highlight w:val="white"/>
        </w:rPr>
      </w:pPr>
    </w:p>
    <w:p w:rsidR="0023288B" w:rsidRDefault="00A0095D">
      <w:pPr>
        <w:spacing w:after="0" w:line="276" w:lineRule="auto"/>
        <w:jc w:val="both"/>
        <w:rPr>
          <w:rFonts w:ascii="Arial" w:eastAsia="Arial" w:hAnsi="Arial" w:cs="Arial"/>
          <w:sz w:val="24"/>
          <w:szCs w:val="24"/>
          <w:highlight w:val="white"/>
        </w:rPr>
      </w:pPr>
      <w:r>
        <w:rPr>
          <w:rFonts w:ascii="Arial" w:eastAsia="Arial" w:hAnsi="Arial" w:cs="Arial"/>
          <w:b/>
          <w:sz w:val="24"/>
          <w:szCs w:val="24"/>
          <w:highlight w:val="white"/>
        </w:rPr>
        <w:t>ODS N° 10: Reducción de las desigualdades.</w:t>
      </w:r>
      <w:r>
        <w:rPr>
          <w:rFonts w:ascii="Arial" w:eastAsia="Arial" w:hAnsi="Arial" w:cs="Arial"/>
          <w:sz w:val="24"/>
          <w:szCs w:val="24"/>
          <w:highlight w:val="white"/>
        </w:rPr>
        <w:t xml:space="preserve"> Meta 10.2 “De aquí a 2030, potenciar y promover la inclusión social, económica y política de todas las personas, independientemente de su edad, sexo, discapacidad, raza, etnia, origen, religión o situación económica u otra condición” y Meta 10.3 “Garantizar la igualdad de oportunidades y reducir la desigualdad de resultados, incluso eliminando las leyes, políticas y prácticas discriminatorias y promoviendo legislaciones, políticas y medidas adecuadas a ese respecto”. </w:t>
      </w:r>
    </w:p>
    <w:p w:rsidR="0023288B" w:rsidRDefault="0023288B">
      <w:pPr>
        <w:shd w:val="clear" w:color="auto" w:fill="FFFFFF"/>
        <w:spacing w:after="0" w:line="240" w:lineRule="auto"/>
        <w:jc w:val="both"/>
        <w:rPr>
          <w:rFonts w:ascii="Arial" w:eastAsia="Arial" w:hAnsi="Arial" w:cs="Arial"/>
          <w:sz w:val="24"/>
          <w:szCs w:val="24"/>
        </w:rPr>
      </w:pPr>
    </w:p>
    <w:p w:rsidR="0023288B" w:rsidRDefault="00A0095D">
      <w:pPr>
        <w:numPr>
          <w:ilvl w:val="0"/>
          <w:numId w:val="8"/>
        </w:numPr>
        <w:shd w:val="clear" w:color="auto" w:fill="FFFFFF"/>
        <w:spacing w:after="0" w:line="276" w:lineRule="auto"/>
        <w:jc w:val="both"/>
        <w:rPr>
          <w:rFonts w:ascii="Arial" w:eastAsia="Arial" w:hAnsi="Arial" w:cs="Arial"/>
          <w:b/>
          <w:sz w:val="24"/>
          <w:szCs w:val="24"/>
          <w:highlight w:val="white"/>
        </w:rPr>
      </w:pPr>
      <w:r>
        <w:rPr>
          <w:rFonts w:ascii="Arial" w:eastAsia="Arial" w:hAnsi="Arial" w:cs="Arial"/>
          <w:b/>
          <w:sz w:val="24"/>
          <w:szCs w:val="24"/>
          <w:highlight w:val="white"/>
        </w:rPr>
        <w:t>Pacto Internacional de Derechos Económicos Sociales y Culturales</w:t>
      </w:r>
    </w:p>
    <w:p w:rsidR="0023288B" w:rsidRDefault="0023288B">
      <w:pPr>
        <w:shd w:val="clear" w:color="auto" w:fill="FFFFFF"/>
        <w:spacing w:after="0" w:line="276" w:lineRule="auto"/>
        <w:jc w:val="both"/>
        <w:rPr>
          <w:rFonts w:ascii="Arial" w:eastAsia="Arial" w:hAnsi="Arial" w:cs="Arial"/>
          <w:sz w:val="24"/>
          <w:szCs w:val="24"/>
          <w:highlight w:val="white"/>
        </w:rPr>
      </w:pPr>
    </w:p>
    <w:p w:rsidR="0023288B" w:rsidRDefault="00A0095D">
      <w:pPr>
        <w:shd w:val="clear" w:color="auto" w:fill="FFFFFF"/>
        <w:spacing w:after="0" w:line="276" w:lineRule="auto"/>
        <w:jc w:val="both"/>
        <w:rPr>
          <w:rFonts w:ascii="Arial" w:eastAsia="Arial" w:hAnsi="Arial" w:cs="Arial"/>
          <w:sz w:val="24"/>
          <w:szCs w:val="24"/>
          <w:highlight w:val="white"/>
        </w:rPr>
      </w:pPr>
      <w:r>
        <w:rPr>
          <w:rFonts w:ascii="Arial" w:eastAsia="Arial" w:hAnsi="Arial" w:cs="Arial"/>
          <w:sz w:val="24"/>
          <w:szCs w:val="24"/>
          <w:highlight w:val="white"/>
        </w:rPr>
        <w:t>Fue adoptado por la Asamblea General de las Naciones Unidas mediante la Resolución 2200A (XXI), el 16 de diciembre de 1966 adoptado por Colombia a través de la Ley 74 de 1968.</w:t>
      </w:r>
    </w:p>
    <w:p w:rsidR="0023288B" w:rsidRDefault="0023288B">
      <w:pPr>
        <w:shd w:val="clear" w:color="auto" w:fill="FFFFFF"/>
        <w:spacing w:after="0" w:line="276" w:lineRule="auto"/>
        <w:ind w:left="720"/>
        <w:jc w:val="both"/>
        <w:rPr>
          <w:rFonts w:ascii="Arial" w:eastAsia="Arial" w:hAnsi="Arial" w:cs="Arial"/>
          <w:sz w:val="24"/>
          <w:szCs w:val="24"/>
          <w:highlight w:val="white"/>
        </w:rPr>
      </w:pPr>
    </w:p>
    <w:p w:rsidR="0023288B" w:rsidRDefault="00A0095D">
      <w:pPr>
        <w:shd w:val="clear" w:color="auto" w:fill="FFFFFF"/>
        <w:spacing w:after="0" w:line="276" w:lineRule="auto"/>
        <w:jc w:val="both"/>
        <w:rPr>
          <w:rFonts w:ascii="Arial" w:eastAsia="Arial" w:hAnsi="Arial" w:cs="Arial"/>
          <w:sz w:val="24"/>
          <w:szCs w:val="24"/>
          <w:highlight w:val="white"/>
        </w:rPr>
      </w:pPr>
      <w:r>
        <w:rPr>
          <w:rFonts w:ascii="Arial" w:eastAsia="Arial" w:hAnsi="Arial" w:cs="Arial"/>
          <w:sz w:val="24"/>
          <w:szCs w:val="24"/>
          <w:highlight w:val="white"/>
        </w:rPr>
        <w:t xml:space="preserve">Este instrumento internacional dispone en su artículo 15 el derecho de todas las personas a participar en la vida cultural y correlativamente establece la obligación del Estado de adoptar medidas para asegurar el pleno ejercicio de este derecho, entre ellas, medidas dirigidas a la conservación, desarrollo y difusión de la cultura. </w:t>
      </w:r>
    </w:p>
    <w:p w:rsidR="0023288B" w:rsidRDefault="0023288B">
      <w:pPr>
        <w:shd w:val="clear" w:color="auto" w:fill="FFFFFF"/>
        <w:spacing w:after="0" w:line="276" w:lineRule="auto"/>
        <w:jc w:val="both"/>
        <w:rPr>
          <w:rFonts w:ascii="Arial" w:eastAsia="Arial" w:hAnsi="Arial" w:cs="Arial"/>
          <w:b/>
          <w:sz w:val="24"/>
          <w:szCs w:val="24"/>
          <w:highlight w:val="white"/>
        </w:rPr>
      </w:pPr>
    </w:p>
    <w:p w:rsidR="0023288B" w:rsidRDefault="00A0095D">
      <w:pPr>
        <w:numPr>
          <w:ilvl w:val="0"/>
          <w:numId w:val="3"/>
        </w:numPr>
        <w:shd w:val="clear" w:color="auto" w:fill="FFFFFF"/>
        <w:spacing w:after="0" w:line="240" w:lineRule="auto"/>
        <w:jc w:val="both"/>
        <w:rPr>
          <w:rFonts w:ascii="Arial" w:eastAsia="Arial" w:hAnsi="Arial" w:cs="Arial"/>
          <w:b/>
          <w:sz w:val="24"/>
          <w:szCs w:val="24"/>
          <w:highlight w:val="white"/>
        </w:rPr>
      </w:pPr>
      <w:r>
        <w:rPr>
          <w:rFonts w:ascii="Arial" w:eastAsia="Arial" w:hAnsi="Arial" w:cs="Arial"/>
          <w:b/>
          <w:sz w:val="24"/>
          <w:szCs w:val="24"/>
          <w:highlight w:val="white"/>
        </w:rPr>
        <w:lastRenderedPageBreak/>
        <w:t>Protocolo Adicional a la Convención Americana sobre Derechos Humanos en materia de Derechos Económicos, Sociales y Culturales</w:t>
      </w:r>
    </w:p>
    <w:p w:rsidR="0023288B" w:rsidRDefault="0023288B">
      <w:pPr>
        <w:shd w:val="clear" w:color="auto" w:fill="FFFFFF"/>
        <w:spacing w:after="0" w:line="240" w:lineRule="auto"/>
        <w:jc w:val="both"/>
        <w:rPr>
          <w:rFonts w:ascii="Arial" w:eastAsia="Arial" w:hAnsi="Arial" w:cs="Arial"/>
          <w:b/>
          <w:sz w:val="24"/>
          <w:szCs w:val="24"/>
          <w:highlight w:val="white"/>
        </w:rPr>
      </w:pPr>
    </w:p>
    <w:p w:rsidR="0023288B" w:rsidRDefault="00A0095D">
      <w:pPr>
        <w:shd w:val="clear" w:color="auto" w:fill="FFFFFF"/>
        <w:spacing w:after="0" w:line="276" w:lineRule="auto"/>
        <w:jc w:val="both"/>
        <w:rPr>
          <w:rFonts w:ascii="Times New Roman" w:eastAsia="Times New Roman" w:hAnsi="Times New Roman" w:cs="Times New Roman"/>
          <w:color w:val="2D2D2D"/>
          <w:highlight w:val="white"/>
        </w:rPr>
      </w:pPr>
      <w:r>
        <w:rPr>
          <w:rFonts w:ascii="Arial" w:eastAsia="Arial" w:hAnsi="Arial" w:cs="Arial"/>
          <w:sz w:val="24"/>
          <w:szCs w:val="24"/>
          <w:highlight w:val="white"/>
        </w:rPr>
        <w:t xml:space="preserve">El artículo 14 reconoce el derecho a los beneficios de la cultura cuyo contenido comprende, entre otros, el derecho a participar en la vida cultural y artística de la comunidad, y reitera la obligación de los Estados de adoptar medidas para el desarrollo y difusión de la cultura. </w:t>
      </w:r>
    </w:p>
    <w:p w:rsidR="0023288B" w:rsidRDefault="00A0095D">
      <w:pPr>
        <w:numPr>
          <w:ilvl w:val="0"/>
          <w:numId w:val="7"/>
        </w:numPr>
        <w:spacing w:before="240" w:after="240" w:line="276" w:lineRule="auto"/>
        <w:jc w:val="both"/>
        <w:rPr>
          <w:rFonts w:ascii="Arial" w:eastAsia="Arial" w:hAnsi="Arial" w:cs="Arial"/>
          <w:b/>
          <w:i/>
          <w:sz w:val="24"/>
          <w:szCs w:val="24"/>
        </w:rPr>
      </w:pPr>
      <w:r>
        <w:rPr>
          <w:rFonts w:ascii="Arial" w:eastAsia="Arial" w:hAnsi="Arial" w:cs="Arial"/>
          <w:b/>
          <w:i/>
          <w:sz w:val="24"/>
          <w:szCs w:val="24"/>
        </w:rPr>
        <w:t>DE RANGO NACIONAL</w:t>
      </w:r>
    </w:p>
    <w:p w:rsidR="0023288B" w:rsidRDefault="00A0095D">
      <w:pPr>
        <w:numPr>
          <w:ilvl w:val="0"/>
          <w:numId w:val="4"/>
        </w:numPr>
        <w:shd w:val="clear" w:color="auto" w:fill="FFFFFF"/>
        <w:spacing w:before="240" w:after="240" w:line="276" w:lineRule="auto"/>
        <w:jc w:val="both"/>
        <w:rPr>
          <w:rFonts w:ascii="Arial" w:eastAsia="Arial" w:hAnsi="Arial" w:cs="Arial"/>
          <w:sz w:val="24"/>
          <w:szCs w:val="24"/>
        </w:rPr>
      </w:pPr>
      <w:r>
        <w:rPr>
          <w:rFonts w:ascii="Arial" w:eastAsia="Arial" w:hAnsi="Arial" w:cs="Arial"/>
          <w:b/>
          <w:sz w:val="24"/>
          <w:szCs w:val="24"/>
        </w:rPr>
        <w:t>Constitución Política de Colombia</w:t>
      </w:r>
      <w:r>
        <w:rPr>
          <w:rFonts w:ascii="Arial" w:eastAsia="Arial" w:hAnsi="Arial" w:cs="Arial"/>
          <w:sz w:val="24"/>
          <w:szCs w:val="24"/>
        </w:rPr>
        <w:t xml:space="preserve"> </w:t>
      </w:r>
    </w:p>
    <w:p w:rsidR="0023288B" w:rsidRDefault="00A0095D">
      <w:pPr>
        <w:shd w:val="clear" w:color="auto" w:fill="FFFFFF"/>
        <w:spacing w:before="240" w:after="240" w:line="276" w:lineRule="auto"/>
        <w:jc w:val="both"/>
        <w:rPr>
          <w:rFonts w:ascii="Arial" w:eastAsia="Arial" w:hAnsi="Arial" w:cs="Arial"/>
          <w:sz w:val="24"/>
          <w:szCs w:val="24"/>
          <w:highlight w:val="white"/>
        </w:rPr>
      </w:pPr>
      <w:r>
        <w:rPr>
          <w:rFonts w:ascii="Arial" w:eastAsia="Arial" w:hAnsi="Arial" w:cs="Arial"/>
          <w:b/>
          <w:sz w:val="24"/>
          <w:szCs w:val="24"/>
          <w:highlight w:val="white"/>
        </w:rPr>
        <w:t>Artículo 1.</w:t>
      </w:r>
      <w:r>
        <w:rPr>
          <w:rFonts w:ascii="Arial" w:eastAsia="Arial" w:hAnsi="Arial" w:cs="Arial"/>
          <w:sz w:val="24"/>
          <w:szCs w:val="24"/>
          <w:highlight w:val="white"/>
        </w:rPr>
        <w:t xml:space="preserve"> Colombia es un Estado social de derecho, organizado en forma de República unitaria, descentralizada, con autonomía de sus entidades territoriales, democrática, participativa y pluralista, fundada en el respeto de la dignidad humana, en el trabajo y la solidaridad de las personas que la integran y en la prevalencia del interés general.</w:t>
      </w:r>
    </w:p>
    <w:p w:rsidR="0023288B" w:rsidRDefault="00A0095D">
      <w:pPr>
        <w:shd w:val="clear" w:color="auto" w:fill="FFFFFF"/>
        <w:spacing w:before="240" w:after="240" w:line="276" w:lineRule="auto"/>
        <w:jc w:val="both"/>
        <w:rPr>
          <w:rFonts w:ascii="Arial" w:eastAsia="Arial" w:hAnsi="Arial" w:cs="Arial"/>
          <w:sz w:val="24"/>
          <w:szCs w:val="24"/>
          <w:highlight w:val="white"/>
        </w:rPr>
      </w:pPr>
      <w:r>
        <w:rPr>
          <w:rFonts w:ascii="Arial" w:eastAsia="Arial" w:hAnsi="Arial" w:cs="Arial"/>
          <w:b/>
          <w:sz w:val="24"/>
          <w:szCs w:val="24"/>
          <w:highlight w:val="white"/>
        </w:rPr>
        <w:t xml:space="preserve">Artículo 2. </w:t>
      </w:r>
      <w:r>
        <w:rPr>
          <w:rFonts w:ascii="Arial" w:eastAsia="Arial" w:hAnsi="Arial" w:cs="Arial"/>
          <w:sz w:val="24"/>
          <w:szCs w:val="24"/>
          <w:highlight w:val="white"/>
        </w:rPr>
        <w:t>Son fines esenciales del Estado: servir a la comunidad, promover la prosperidad general y garantizar la efectividad de los principios, derechos y deberes consagrados en la Constitución; facilitar la participación de todos en las decisiones que los afectan y en la vida económica, política, administrativa y cultural de la Nación; defender la independencia nacional, mantener la integridad territorial y asegurar la convivencia pacífica y la vigencia de un orden justo.</w:t>
      </w:r>
    </w:p>
    <w:p w:rsidR="0023288B" w:rsidRDefault="00A0095D">
      <w:pPr>
        <w:shd w:val="clear" w:color="auto" w:fill="FFFFFF"/>
        <w:spacing w:before="240" w:after="240" w:line="276" w:lineRule="auto"/>
        <w:jc w:val="both"/>
        <w:rPr>
          <w:rFonts w:ascii="Arial" w:eastAsia="Arial" w:hAnsi="Arial" w:cs="Arial"/>
          <w:sz w:val="24"/>
          <w:szCs w:val="24"/>
          <w:highlight w:val="white"/>
        </w:rPr>
      </w:pPr>
      <w:r>
        <w:rPr>
          <w:rFonts w:ascii="Arial" w:eastAsia="Arial" w:hAnsi="Arial" w:cs="Arial"/>
          <w:sz w:val="24"/>
          <w:szCs w:val="24"/>
          <w:highlight w:val="white"/>
        </w:rPr>
        <w:t>Las autoridades de la República están instituidas para proteger a todas las personas residentes en Colombia, en su vida, honra, bienes, creencias, y demás derechos y libertades, y para asegurar el cumplimiento de los deberes sociales del Estado y de los particulares.</w:t>
      </w:r>
    </w:p>
    <w:p w:rsidR="0023288B" w:rsidRDefault="00A0095D">
      <w:pPr>
        <w:shd w:val="clear" w:color="auto" w:fill="FFFFFF"/>
        <w:spacing w:before="240" w:after="240" w:line="276" w:lineRule="auto"/>
        <w:jc w:val="both"/>
        <w:rPr>
          <w:rFonts w:ascii="Arial" w:eastAsia="Arial" w:hAnsi="Arial" w:cs="Arial"/>
          <w:sz w:val="24"/>
          <w:szCs w:val="24"/>
          <w:highlight w:val="white"/>
        </w:rPr>
      </w:pPr>
      <w:r>
        <w:rPr>
          <w:rFonts w:ascii="Arial" w:eastAsia="Arial" w:hAnsi="Arial" w:cs="Arial"/>
          <w:b/>
          <w:sz w:val="24"/>
          <w:szCs w:val="24"/>
          <w:highlight w:val="white"/>
        </w:rPr>
        <w:t>Artículo 13.</w:t>
      </w:r>
      <w:r>
        <w:rPr>
          <w:rFonts w:ascii="Arial" w:eastAsia="Arial" w:hAnsi="Arial" w:cs="Arial"/>
          <w:sz w:val="24"/>
          <w:szCs w:val="24"/>
          <w:highlight w:val="white"/>
        </w:rPr>
        <w:t xml:space="preserve"> Todas las personas nacen libres e iguales ante la ley, recibirán la misma protección y trato de las autoridades y gozarán de los mismos derechos, libertades y oportunidades sin ninguna discriminación por razones de sexo, raza, origen nacional o familiar, lengua, religión, opinión política o filosófica.</w:t>
      </w:r>
    </w:p>
    <w:p w:rsidR="0023288B" w:rsidRDefault="00A0095D">
      <w:pPr>
        <w:spacing w:after="0" w:line="276" w:lineRule="auto"/>
        <w:jc w:val="both"/>
        <w:rPr>
          <w:rFonts w:ascii="Arial" w:eastAsia="Arial" w:hAnsi="Arial" w:cs="Arial"/>
          <w:sz w:val="24"/>
          <w:szCs w:val="24"/>
          <w:highlight w:val="white"/>
        </w:rPr>
      </w:pPr>
      <w:r>
        <w:rPr>
          <w:rFonts w:ascii="Arial" w:eastAsia="Arial" w:hAnsi="Arial" w:cs="Arial"/>
          <w:b/>
          <w:sz w:val="24"/>
          <w:szCs w:val="24"/>
          <w:highlight w:val="white"/>
        </w:rPr>
        <w:t>Artículo 44.</w:t>
      </w:r>
      <w:r>
        <w:rPr>
          <w:rFonts w:ascii="Arial" w:eastAsia="Arial" w:hAnsi="Arial" w:cs="Arial"/>
          <w:sz w:val="24"/>
          <w:szCs w:val="24"/>
          <w:highlight w:val="white"/>
        </w:rPr>
        <w:t xml:space="preserve"> Son derechos fundamentales de los niños: la vida, la integridad física, la salud y la seguridad social, la alimentación equilibrada, su nombre y nacionalidad, tener una familia y no ser separados de ella, el cuidado y amor, la educación y la cultura, la recreación y la libre expresión de su opinión. Serán protegidos contra toda </w:t>
      </w:r>
      <w:r>
        <w:rPr>
          <w:rFonts w:ascii="Arial" w:eastAsia="Arial" w:hAnsi="Arial" w:cs="Arial"/>
          <w:sz w:val="24"/>
          <w:szCs w:val="24"/>
          <w:highlight w:val="white"/>
        </w:rPr>
        <w:lastRenderedPageBreak/>
        <w:t>forma de abandono, violencia física o moral, secuestro, venta, abuso sexual, explotación laboral o económica y trabajos riesgosos. Gozarán también de los demás derechos consagrados en la Constitución, en las leyes y en los tratados internacionales ratificados por Colombia.</w:t>
      </w:r>
    </w:p>
    <w:p w:rsidR="0023288B" w:rsidRDefault="00A0095D">
      <w:pPr>
        <w:shd w:val="clear" w:color="auto" w:fill="FFFFFF"/>
        <w:spacing w:before="240" w:after="240" w:line="276" w:lineRule="auto"/>
        <w:jc w:val="both"/>
        <w:rPr>
          <w:rFonts w:ascii="Arial" w:eastAsia="Arial" w:hAnsi="Arial" w:cs="Arial"/>
          <w:sz w:val="24"/>
          <w:szCs w:val="24"/>
          <w:highlight w:val="white"/>
        </w:rPr>
      </w:pPr>
      <w:r>
        <w:rPr>
          <w:rFonts w:ascii="Arial" w:eastAsia="Arial" w:hAnsi="Arial" w:cs="Arial"/>
          <w:sz w:val="24"/>
          <w:szCs w:val="24"/>
          <w:highlight w:val="white"/>
        </w:rPr>
        <w:t>La familia, la sociedad y el Estado tienen la obligación de asistir y proteger al niño para garantizar su desarrollo armónico e integral y el ejercicio pleno de sus derechos. Cualquier persona puede exigir de la autoridad competente su cumplimiento y la sanción de los infractores.</w:t>
      </w:r>
    </w:p>
    <w:p w:rsidR="0023288B" w:rsidRDefault="00A0095D">
      <w:pPr>
        <w:shd w:val="clear" w:color="auto" w:fill="FFFFFF"/>
        <w:spacing w:before="240" w:after="240" w:line="276" w:lineRule="auto"/>
        <w:jc w:val="both"/>
        <w:rPr>
          <w:rFonts w:ascii="Arial" w:eastAsia="Arial" w:hAnsi="Arial" w:cs="Arial"/>
          <w:sz w:val="24"/>
          <w:szCs w:val="24"/>
          <w:highlight w:val="white"/>
        </w:rPr>
      </w:pPr>
      <w:r>
        <w:rPr>
          <w:rFonts w:ascii="Arial" w:eastAsia="Arial" w:hAnsi="Arial" w:cs="Arial"/>
          <w:sz w:val="24"/>
          <w:szCs w:val="24"/>
          <w:highlight w:val="white"/>
        </w:rPr>
        <w:t>Los derechos de los niños prevalecen sobre los derechos de los demás.</w:t>
      </w:r>
    </w:p>
    <w:p w:rsidR="0023288B" w:rsidRDefault="00A0095D">
      <w:pPr>
        <w:shd w:val="clear" w:color="auto" w:fill="FFFFFF"/>
        <w:spacing w:before="240" w:after="240" w:line="276" w:lineRule="auto"/>
        <w:jc w:val="both"/>
        <w:rPr>
          <w:rFonts w:ascii="Arial" w:eastAsia="Arial" w:hAnsi="Arial" w:cs="Arial"/>
          <w:sz w:val="24"/>
          <w:szCs w:val="24"/>
          <w:highlight w:val="white"/>
        </w:rPr>
      </w:pPr>
      <w:r>
        <w:rPr>
          <w:rFonts w:ascii="Arial" w:eastAsia="Arial" w:hAnsi="Arial" w:cs="Arial"/>
          <w:b/>
          <w:sz w:val="24"/>
          <w:szCs w:val="24"/>
          <w:highlight w:val="white"/>
        </w:rPr>
        <w:t>Artículo 45.</w:t>
      </w:r>
      <w:r>
        <w:rPr>
          <w:rFonts w:ascii="Arial" w:eastAsia="Arial" w:hAnsi="Arial" w:cs="Arial"/>
          <w:sz w:val="24"/>
          <w:szCs w:val="24"/>
          <w:highlight w:val="white"/>
        </w:rPr>
        <w:t xml:space="preserve"> El adolescente tiene derecho a la protección y a la formación integral.</w:t>
      </w:r>
    </w:p>
    <w:p w:rsidR="0023288B" w:rsidRDefault="00A0095D">
      <w:pPr>
        <w:shd w:val="clear" w:color="auto" w:fill="FFFFFF"/>
        <w:spacing w:before="240" w:after="240" w:line="276" w:lineRule="auto"/>
        <w:jc w:val="both"/>
        <w:rPr>
          <w:rFonts w:ascii="Arial" w:eastAsia="Arial" w:hAnsi="Arial" w:cs="Arial"/>
          <w:sz w:val="24"/>
          <w:szCs w:val="24"/>
          <w:highlight w:val="white"/>
        </w:rPr>
      </w:pPr>
      <w:r>
        <w:rPr>
          <w:rFonts w:ascii="Arial" w:eastAsia="Arial" w:hAnsi="Arial" w:cs="Arial"/>
          <w:sz w:val="24"/>
          <w:szCs w:val="24"/>
          <w:highlight w:val="white"/>
        </w:rPr>
        <w:t>El Estado y la sociedad garantizan la participación activa de los jóvenes en los organismos públicos y privados que tengan a cargo la protección, educación y progreso de la juventud.</w:t>
      </w:r>
    </w:p>
    <w:p w:rsidR="0023288B" w:rsidRDefault="00A0095D">
      <w:pPr>
        <w:shd w:val="clear" w:color="auto" w:fill="FFFFFF"/>
        <w:spacing w:before="240" w:after="240" w:line="276" w:lineRule="auto"/>
        <w:jc w:val="both"/>
        <w:rPr>
          <w:rFonts w:ascii="Arial" w:eastAsia="Arial" w:hAnsi="Arial" w:cs="Arial"/>
          <w:sz w:val="24"/>
          <w:szCs w:val="24"/>
          <w:highlight w:val="white"/>
        </w:rPr>
      </w:pPr>
      <w:r>
        <w:rPr>
          <w:rFonts w:ascii="Arial" w:eastAsia="Arial" w:hAnsi="Arial" w:cs="Arial"/>
          <w:b/>
          <w:sz w:val="24"/>
          <w:szCs w:val="24"/>
          <w:highlight w:val="white"/>
        </w:rPr>
        <w:t xml:space="preserve">Artículo 67. </w:t>
      </w:r>
      <w:r>
        <w:rPr>
          <w:rFonts w:ascii="Arial" w:eastAsia="Arial" w:hAnsi="Arial" w:cs="Arial"/>
          <w:sz w:val="24"/>
          <w:szCs w:val="24"/>
          <w:highlight w:val="white"/>
        </w:rPr>
        <w:t>La educación es un derecho de la persona y un servicio público que tiene una función social; con ella se busca el acceso al conocimiento, a la ciencia, a la técnica, y a los demás bienes y valores de la cultura.</w:t>
      </w:r>
    </w:p>
    <w:p w:rsidR="0023288B" w:rsidRDefault="00A0095D">
      <w:pPr>
        <w:shd w:val="clear" w:color="auto" w:fill="FFFFFF"/>
        <w:spacing w:before="240" w:after="240" w:line="276" w:lineRule="auto"/>
        <w:jc w:val="both"/>
        <w:rPr>
          <w:rFonts w:ascii="Arial" w:eastAsia="Arial" w:hAnsi="Arial" w:cs="Arial"/>
          <w:sz w:val="24"/>
          <w:szCs w:val="24"/>
          <w:highlight w:val="white"/>
        </w:rPr>
      </w:pPr>
      <w:r>
        <w:rPr>
          <w:rFonts w:ascii="Arial" w:eastAsia="Arial" w:hAnsi="Arial" w:cs="Arial"/>
          <w:sz w:val="24"/>
          <w:szCs w:val="24"/>
          <w:highlight w:val="white"/>
        </w:rPr>
        <w:t>La educación formará al colombiano en el respeto a los derechos humanos, a la paz y a la democracia; y en la práctica del trabajo y la recreación, para el mejoramiento cultural, científico, tecnológico y para la protección del ambiente.</w:t>
      </w:r>
    </w:p>
    <w:p w:rsidR="0023288B" w:rsidRDefault="00A0095D">
      <w:pPr>
        <w:shd w:val="clear" w:color="auto" w:fill="FFFFFF"/>
        <w:spacing w:before="240" w:after="240" w:line="276" w:lineRule="auto"/>
        <w:jc w:val="both"/>
        <w:rPr>
          <w:rFonts w:ascii="Arial" w:eastAsia="Arial" w:hAnsi="Arial" w:cs="Arial"/>
          <w:sz w:val="24"/>
          <w:szCs w:val="24"/>
          <w:highlight w:val="white"/>
        </w:rPr>
      </w:pPr>
      <w:r>
        <w:rPr>
          <w:rFonts w:ascii="Arial" w:eastAsia="Arial" w:hAnsi="Arial" w:cs="Arial"/>
          <w:sz w:val="24"/>
          <w:szCs w:val="24"/>
          <w:highlight w:val="white"/>
        </w:rPr>
        <w:t>El Estado, la sociedad y la familia son responsables de la educación, que será obligatoria entre los cinco y los quince años de edad y que comprenderá como mínimo, un año de preescolar y nueve de educación básica.</w:t>
      </w:r>
    </w:p>
    <w:p w:rsidR="0023288B" w:rsidRDefault="00A0095D">
      <w:pPr>
        <w:shd w:val="clear" w:color="auto" w:fill="FFFFFF"/>
        <w:spacing w:before="240" w:after="240" w:line="276" w:lineRule="auto"/>
        <w:jc w:val="both"/>
        <w:rPr>
          <w:rFonts w:ascii="Arial" w:eastAsia="Arial" w:hAnsi="Arial" w:cs="Arial"/>
          <w:sz w:val="24"/>
          <w:szCs w:val="24"/>
          <w:highlight w:val="white"/>
        </w:rPr>
      </w:pPr>
      <w:r>
        <w:rPr>
          <w:rFonts w:ascii="Arial" w:eastAsia="Arial" w:hAnsi="Arial" w:cs="Arial"/>
          <w:b/>
          <w:sz w:val="24"/>
          <w:szCs w:val="24"/>
          <w:highlight w:val="white"/>
        </w:rPr>
        <w:t>Artículo 70.</w:t>
      </w:r>
      <w:r>
        <w:rPr>
          <w:rFonts w:ascii="Arial" w:eastAsia="Arial" w:hAnsi="Arial" w:cs="Arial"/>
          <w:sz w:val="24"/>
          <w:szCs w:val="24"/>
          <w:highlight w:val="white"/>
        </w:rPr>
        <w:t xml:space="preserve"> El Estado tiene el deber de promover y fomentar el acceso a la cultura de todos los colombianos en igualdad de oportunidades, por medio de la educación permanente y la enseñanza científica, técnica, artística y profesional en todas las etapas del proceso de creación de la identidad nacional.</w:t>
      </w:r>
    </w:p>
    <w:p w:rsidR="0023288B" w:rsidRDefault="00A0095D">
      <w:pPr>
        <w:shd w:val="clear" w:color="auto" w:fill="FFFFFF"/>
        <w:spacing w:before="240" w:after="240" w:line="276" w:lineRule="auto"/>
        <w:jc w:val="both"/>
        <w:rPr>
          <w:rFonts w:ascii="Arial" w:eastAsia="Arial" w:hAnsi="Arial" w:cs="Arial"/>
          <w:sz w:val="24"/>
          <w:szCs w:val="24"/>
          <w:highlight w:val="white"/>
        </w:rPr>
      </w:pPr>
      <w:r>
        <w:rPr>
          <w:rFonts w:ascii="Arial" w:eastAsia="Arial" w:hAnsi="Arial" w:cs="Arial"/>
          <w:sz w:val="24"/>
          <w:szCs w:val="24"/>
          <w:highlight w:val="white"/>
        </w:rPr>
        <w:t>La cultura en sus diversas manifestaciones es fundamento de la nacionalidad. El Estado reconoce la igualdad y dignidad de todas las que conviven en el país. El Estado promoverá la investigación, la ciencia, el desarrollo y la difusión de los valores culturales de la Nación.</w:t>
      </w:r>
    </w:p>
    <w:p w:rsidR="0023288B" w:rsidRDefault="00A0095D">
      <w:pPr>
        <w:spacing w:after="0" w:line="276" w:lineRule="auto"/>
        <w:jc w:val="both"/>
        <w:rPr>
          <w:rFonts w:ascii="Arial" w:eastAsia="Arial" w:hAnsi="Arial" w:cs="Arial"/>
          <w:sz w:val="24"/>
          <w:szCs w:val="24"/>
          <w:highlight w:val="white"/>
        </w:rPr>
      </w:pPr>
      <w:r>
        <w:rPr>
          <w:rFonts w:ascii="Arial" w:eastAsia="Arial" w:hAnsi="Arial" w:cs="Arial"/>
          <w:b/>
          <w:sz w:val="24"/>
          <w:szCs w:val="24"/>
          <w:highlight w:val="white"/>
        </w:rPr>
        <w:lastRenderedPageBreak/>
        <w:t>Artículo 71.</w:t>
      </w:r>
      <w:r>
        <w:rPr>
          <w:rFonts w:ascii="Arial" w:eastAsia="Arial" w:hAnsi="Arial" w:cs="Arial"/>
          <w:sz w:val="24"/>
          <w:szCs w:val="24"/>
          <w:highlight w:val="white"/>
        </w:rPr>
        <w:t xml:space="preserve"> La búsqueda del conocimiento y la expresión artística son libres. Los planes de desarrollo económico y social incluirán el fomento a las ciencias y, en general, a la cultura. El Estado creará incentivos para personas e instituciones que desarrollen y fomenten la ciencia y la tecnología y las demás manifestaciones culturales y ofrecerá estímulos especiales a personas e instituciones que ejerzan estas actividades.</w:t>
      </w:r>
    </w:p>
    <w:p w:rsidR="0023288B" w:rsidRDefault="0023288B">
      <w:pPr>
        <w:spacing w:after="0" w:line="276" w:lineRule="auto"/>
        <w:jc w:val="both"/>
        <w:rPr>
          <w:rFonts w:ascii="Arial" w:eastAsia="Arial" w:hAnsi="Arial" w:cs="Arial"/>
          <w:sz w:val="24"/>
          <w:szCs w:val="24"/>
        </w:rPr>
      </w:pPr>
    </w:p>
    <w:p w:rsidR="0023288B" w:rsidRDefault="00A0095D">
      <w:pPr>
        <w:numPr>
          <w:ilvl w:val="0"/>
          <w:numId w:val="10"/>
        </w:numPr>
        <w:spacing w:after="0" w:line="276" w:lineRule="auto"/>
        <w:jc w:val="both"/>
        <w:rPr>
          <w:rFonts w:ascii="Arial" w:eastAsia="Arial" w:hAnsi="Arial" w:cs="Arial"/>
          <w:b/>
          <w:sz w:val="24"/>
          <w:szCs w:val="24"/>
          <w:highlight w:val="white"/>
        </w:rPr>
      </w:pPr>
      <w:r>
        <w:rPr>
          <w:rFonts w:ascii="Arial" w:eastAsia="Arial" w:hAnsi="Arial" w:cs="Arial"/>
          <w:b/>
          <w:sz w:val="24"/>
          <w:szCs w:val="24"/>
          <w:highlight w:val="white"/>
        </w:rPr>
        <w:t>Ley 115 de 1994. Ley general de educación.</w:t>
      </w:r>
    </w:p>
    <w:p w:rsidR="0023288B" w:rsidRDefault="00A0095D">
      <w:pPr>
        <w:spacing w:before="180" w:after="180" w:line="276" w:lineRule="auto"/>
        <w:jc w:val="both"/>
        <w:rPr>
          <w:rFonts w:ascii="Arial" w:eastAsia="Arial" w:hAnsi="Arial" w:cs="Arial"/>
          <w:sz w:val="24"/>
          <w:szCs w:val="24"/>
          <w:highlight w:val="white"/>
        </w:rPr>
      </w:pPr>
      <w:r>
        <w:rPr>
          <w:rFonts w:ascii="Arial" w:eastAsia="Arial" w:hAnsi="Arial" w:cs="Arial"/>
          <w:b/>
          <w:sz w:val="24"/>
          <w:szCs w:val="24"/>
          <w:highlight w:val="white"/>
        </w:rPr>
        <w:t>Artículo 5. Fines de la educación.</w:t>
      </w:r>
      <w:r>
        <w:rPr>
          <w:rFonts w:ascii="Arial" w:eastAsia="Arial" w:hAnsi="Arial" w:cs="Arial"/>
          <w:sz w:val="24"/>
          <w:szCs w:val="24"/>
          <w:highlight w:val="white"/>
        </w:rPr>
        <w:t xml:space="preserve"> De conformidad con el artículo </w:t>
      </w:r>
      <w:hyperlink r:id="rId9" w:anchor="67">
        <w:r>
          <w:rPr>
            <w:rFonts w:ascii="Arial" w:eastAsia="Arial" w:hAnsi="Arial" w:cs="Arial"/>
            <w:sz w:val="24"/>
            <w:szCs w:val="24"/>
            <w:highlight w:val="white"/>
          </w:rPr>
          <w:t>67</w:t>
        </w:r>
      </w:hyperlink>
      <w:r>
        <w:rPr>
          <w:rFonts w:ascii="Arial" w:eastAsia="Arial" w:hAnsi="Arial" w:cs="Arial"/>
          <w:sz w:val="24"/>
          <w:szCs w:val="24"/>
          <w:highlight w:val="white"/>
        </w:rPr>
        <w:t xml:space="preserve"> de la Constitución Política, la educación se desarrollará atendiendo a los siguientes fines:</w:t>
      </w:r>
    </w:p>
    <w:p w:rsidR="0023288B" w:rsidRDefault="00A0095D">
      <w:pPr>
        <w:spacing w:before="180" w:after="180" w:line="276" w:lineRule="auto"/>
        <w:jc w:val="both"/>
        <w:rPr>
          <w:rFonts w:ascii="Arial" w:eastAsia="Arial" w:hAnsi="Arial" w:cs="Arial"/>
          <w:sz w:val="24"/>
          <w:szCs w:val="24"/>
          <w:highlight w:val="white"/>
        </w:rPr>
      </w:pPr>
      <w:r>
        <w:rPr>
          <w:rFonts w:ascii="Arial" w:eastAsia="Arial" w:hAnsi="Arial" w:cs="Arial"/>
          <w:sz w:val="24"/>
          <w:szCs w:val="24"/>
          <w:highlight w:val="white"/>
        </w:rPr>
        <w:t>(...)</w:t>
      </w:r>
    </w:p>
    <w:p w:rsidR="0023288B" w:rsidRDefault="00A0095D">
      <w:pPr>
        <w:spacing w:before="180" w:after="180" w:line="276" w:lineRule="auto"/>
        <w:jc w:val="both"/>
        <w:rPr>
          <w:rFonts w:ascii="Arial" w:eastAsia="Arial" w:hAnsi="Arial" w:cs="Arial"/>
          <w:sz w:val="24"/>
          <w:szCs w:val="24"/>
          <w:highlight w:val="white"/>
        </w:rPr>
      </w:pPr>
      <w:r>
        <w:rPr>
          <w:rFonts w:ascii="Arial" w:eastAsia="Arial" w:hAnsi="Arial" w:cs="Arial"/>
          <w:sz w:val="24"/>
          <w:szCs w:val="24"/>
          <w:highlight w:val="white"/>
        </w:rPr>
        <w:t>5. La adquisición y generación de los conocimientos científicos y técnicos más avanzados, humanísticos, históricos, sociales, geográficos y estéticos, mediante la apropiación de hábitos intelectuales adecuados para el desarrollo del saber.</w:t>
      </w:r>
    </w:p>
    <w:p w:rsidR="0023288B" w:rsidRDefault="00A0095D">
      <w:pPr>
        <w:spacing w:before="180" w:after="180" w:line="276" w:lineRule="auto"/>
        <w:jc w:val="both"/>
        <w:rPr>
          <w:rFonts w:ascii="Arial" w:eastAsia="Arial" w:hAnsi="Arial" w:cs="Arial"/>
          <w:sz w:val="24"/>
          <w:szCs w:val="24"/>
          <w:highlight w:val="white"/>
        </w:rPr>
      </w:pPr>
      <w:r>
        <w:rPr>
          <w:rFonts w:ascii="Arial" w:eastAsia="Arial" w:hAnsi="Arial" w:cs="Arial"/>
          <w:sz w:val="24"/>
          <w:szCs w:val="24"/>
          <w:highlight w:val="white"/>
        </w:rPr>
        <w:t>6. El estudio y la comprensión crítica de la cultura nacional y de la diversidad étnica y cultural del país, como fundamento de la unidad nacional y de su identidad.</w:t>
      </w:r>
    </w:p>
    <w:p w:rsidR="0023288B" w:rsidRDefault="00A0095D">
      <w:pPr>
        <w:spacing w:before="180" w:after="180" w:line="276" w:lineRule="auto"/>
        <w:jc w:val="both"/>
        <w:rPr>
          <w:rFonts w:ascii="Arial" w:eastAsia="Arial" w:hAnsi="Arial" w:cs="Arial"/>
          <w:sz w:val="24"/>
          <w:szCs w:val="24"/>
          <w:highlight w:val="white"/>
        </w:rPr>
      </w:pPr>
      <w:r>
        <w:rPr>
          <w:rFonts w:ascii="Arial" w:eastAsia="Arial" w:hAnsi="Arial" w:cs="Arial"/>
          <w:sz w:val="24"/>
          <w:szCs w:val="24"/>
          <w:highlight w:val="white"/>
        </w:rPr>
        <w:t>7. El acceso al conocimiento, la ciencia, la técnica y demás bienes y valores de la cultura, el fomento de la investigación y el estímulo a la creación artística en sus diferentes manifestaciones.</w:t>
      </w:r>
    </w:p>
    <w:p w:rsidR="0023288B" w:rsidRDefault="00A0095D">
      <w:pPr>
        <w:spacing w:before="180" w:after="180" w:line="276" w:lineRule="auto"/>
        <w:jc w:val="both"/>
        <w:rPr>
          <w:rFonts w:ascii="Arial" w:eastAsia="Arial" w:hAnsi="Arial" w:cs="Arial"/>
          <w:sz w:val="24"/>
          <w:szCs w:val="24"/>
          <w:highlight w:val="white"/>
        </w:rPr>
      </w:pPr>
      <w:r>
        <w:rPr>
          <w:rFonts w:ascii="Arial" w:eastAsia="Arial" w:hAnsi="Arial" w:cs="Arial"/>
          <w:sz w:val="24"/>
          <w:szCs w:val="24"/>
          <w:highlight w:val="white"/>
        </w:rPr>
        <w:t>(...)</w:t>
      </w:r>
    </w:p>
    <w:p w:rsidR="0023288B" w:rsidRDefault="00A0095D">
      <w:pPr>
        <w:spacing w:before="180" w:after="180" w:line="276" w:lineRule="auto"/>
        <w:jc w:val="both"/>
        <w:rPr>
          <w:rFonts w:ascii="Arial" w:eastAsia="Arial" w:hAnsi="Arial" w:cs="Arial"/>
          <w:sz w:val="24"/>
          <w:szCs w:val="24"/>
          <w:highlight w:val="white"/>
        </w:rPr>
      </w:pPr>
      <w:r>
        <w:rPr>
          <w:rFonts w:ascii="Arial" w:eastAsia="Arial" w:hAnsi="Arial" w:cs="Arial"/>
          <w:b/>
          <w:sz w:val="24"/>
          <w:szCs w:val="24"/>
          <w:highlight w:val="white"/>
        </w:rPr>
        <w:t>Artículo 20. Objetivos generales de la educación básica.</w:t>
      </w:r>
      <w:r>
        <w:rPr>
          <w:rFonts w:ascii="Arial" w:eastAsia="Arial" w:hAnsi="Arial" w:cs="Arial"/>
          <w:sz w:val="24"/>
          <w:szCs w:val="24"/>
          <w:highlight w:val="white"/>
        </w:rPr>
        <w:t xml:space="preserve"> Son objetivos generales de la educación básica:</w:t>
      </w:r>
    </w:p>
    <w:p w:rsidR="0023288B" w:rsidRDefault="00A0095D">
      <w:pPr>
        <w:spacing w:before="180" w:after="180" w:line="276" w:lineRule="auto"/>
        <w:jc w:val="both"/>
        <w:rPr>
          <w:rFonts w:ascii="Arial" w:eastAsia="Arial" w:hAnsi="Arial" w:cs="Arial"/>
          <w:sz w:val="24"/>
          <w:szCs w:val="24"/>
          <w:highlight w:val="white"/>
        </w:rPr>
      </w:pPr>
      <w:r>
        <w:rPr>
          <w:rFonts w:ascii="Arial" w:eastAsia="Arial" w:hAnsi="Arial" w:cs="Arial"/>
          <w:sz w:val="24"/>
          <w:szCs w:val="24"/>
          <w:highlight w:val="white"/>
        </w:rPr>
        <w:t>a) Propiciar una formación general mediante el acceso, de manera crítica y creativa, al conocimiento científico, tecnológico, artístico y humanístico y de sus relaciones con la vida social y con la naturaleza, de manera tal que prepare al educando para los niveles superiores del proceso educativo y para su vinculación con la sociedad y el trabajo;</w:t>
      </w:r>
    </w:p>
    <w:p w:rsidR="0023288B" w:rsidRDefault="00A0095D">
      <w:pPr>
        <w:spacing w:before="180" w:after="180" w:line="276" w:lineRule="auto"/>
        <w:jc w:val="both"/>
        <w:rPr>
          <w:rFonts w:ascii="Arial" w:eastAsia="Arial" w:hAnsi="Arial" w:cs="Arial"/>
          <w:sz w:val="24"/>
          <w:szCs w:val="24"/>
          <w:highlight w:val="white"/>
        </w:rPr>
      </w:pPr>
      <w:r>
        <w:rPr>
          <w:rFonts w:ascii="Arial" w:eastAsia="Arial" w:hAnsi="Arial" w:cs="Arial"/>
          <w:sz w:val="24"/>
          <w:szCs w:val="24"/>
          <w:highlight w:val="white"/>
        </w:rPr>
        <w:t>b) Desarrollar las habilidades comunicativas para leer, comprender, escribir, escuchar, hablar y expresarse correctamente;</w:t>
      </w:r>
    </w:p>
    <w:p w:rsidR="0023288B" w:rsidRDefault="00A0095D">
      <w:pPr>
        <w:spacing w:before="180" w:after="180" w:line="276" w:lineRule="auto"/>
        <w:jc w:val="both"/>
        <w:rPr>
          <w:rFonts w:ascii="Arial" w:eastAsia="Arial" w:hAnsi="Arial" w:cs="Arial"/>
          <w:sz w:val="24"/>
          <w:szCs w:val="24"/>
          <w:highlight w:val="white"/>
        </w:rPr>
      </w:pPr>
      <w:r>
        <w:rPr>
          <w:rFonts w:ascii="Arial" w:eastAsia="Arial" w:hAnsi="Arial" w:cs="Arial"/>
          <w:sz w:val="24"/>
          <w:szCs w:val="24"/>
          <w:highlight w:val="white"/>
        </w:rPr>
        <w:t>c) Ampliar y profundizar en el razonamiento lógico y analítico para la interpretación y solución de los problemas de la ciencia, la tecnología y de la vida cotidiana;</w:t>
      </w:r>
    </w:p>
    <w:p w:rsidR="0023288B" w:rsidRDefault="00A0095D">
      <w:pPr>
        <w:spacing w:before="180" w:after="180" w:line="276" w:lineRule="auto"/>
        <w:jc w:val="both"/>
        <w:rPr>
          <w:rFonts w:ascii="Arial" w:eastAsia="Arial" w:hAnsi="Arial" w:cs="Arial"/>
          <w:sz w:val="24"/>
          <w:szCs w:val="24"/>
          <w:highlight w:val="white"/>
        </w:rPr>
      </w:pPr>
      <w:r>
        <w:rPr>
          <w:rFonts w:ascii="Arial" w:eastAsia="Arial" w:hAnsi="Arial" w:cs="Arial"/>
          <w:sz w:val="24"/>
          <w:szCs w:val="24"/>
          <w:highlight w:val="white"/>
        </w:rPr>
        <w:lastRenderedPageBreak/>
        <w:t>d) Propiciar el conocimiento y comprensión de la realidad nacional para consolidar los valores propios de la nacionalidad colombiana tales como la solidaridad, la tolerancia, la democracia, la justicia, la convivencia social, la cooperación y la ayuda mutua;</w:t>
      </w:r>
    </w:p>
    <w:p w:rsidR="0023288B" w:rsidRDefault="00A0095D">
      <w:pPr>
        <w:spacing w:before="180" w:after="180" w:line="276" w:lineRule="auto"/>
        <w:jc w:val="both"/>
        <w:rPr>
          <w:rFonts w:ascii="Arial" w:eastAsia="Arial" w:hAnsi="Arial" w:cs="Arial"/>
          <w:sz w:val="24"/>
          <w:szCs w:val="24"/>
          <w:highlight w:val="white"/>
        </w:rPr>
      </w:pPr>
      <w:r>
        <w:rPr>
          <w:rFonts w:ascii="Arial" w:eastAsia="Arial" w:hAnsi="Arial" w:cs="Arial"/>
          <w:sz w:val="24"/>
          <w:szCs w:val="24"/>
          <w:highlight w:val="white"/>
        </w:rPr>
        <w:t>e) Fomentar el interés y el desarrollo de actitudes hacia la práctica investigativa, y</w:t>
      </w:r>
    </w:p>
    <w:p w:rsidR="0023288B" w:rsidRDefault="00A0095D">
      <w:pPr>
        <w:spacing w:before="180" w:after="180" w:line="276" w:lineRule="auto"/>
        <w:jc w:val="both"/>
        <w:rPr>
          <w:rFonts w:ascii="Arial" w:eastAsia="Arial" w:hAnsi="Arial" w:cs="Arial"/>
          <w:sz w:val="24"/>
          <w:szCs w:val="24"/>
          <w:highlight w:val="white"/>
        </w:rPr>
      </w:pPr>
      <w:r>
        <w:rPr>
          <w:rFonts w:ascii="Arial" w:eastAsia="Arial" w:hAnsi="Arial" w:cs="Arial"/>
          <w:sz w:val="24"/>
          <w:szCs w:val="24"/>
          <w:highlight w:val="white"/>
        </w:rPr>
        <w:t>f) Propiciar la formación social, ética, moral y demás valores del desarrollo humano.</w:t>
      </w:r>
    </w:p>
    <w:p w:rsidR="0023288B" w:rsidRDefault="00A0095D">
      <w:pPr>
        <w:spacing w:before="180" w:after="180" w:line="276" w:lineRule="auto"/>
        <w:jc w:val="both"/>
        <w:rPr>
          <w:rFonts w:ascii="Arial" w:eastAsia="Arial" w:hAnsi="Arial" w:cs="Arial"/>
          <w:sz w:val="24"/>
          <w:szCs w:val="24"/>
          <w:highlight w:val="white"/>
        </w:rPr>
      </w:pPr>
      <w:r>
        <w:rPr>
          <w:rFonts w:ascii="Arial" w:eastAsia="Arial" w:hAnsi="Arial" w:cs="Arial"/>
          <w:sz w:val="24"/>
          <w:szCs w:val="24"/>
          <w:highlight w:val="white"/>
        </w:rPr>
        <w:t>g) Desarrollar las habilidades comunicativas para leer, comprender, escribir, escuchar, hablar y expresarse correctamente en una lengua extranjera.</w:t>
      </w:r>
    </w:p>
    <w:p w:rsidR="0023288B" w:rsidRDefault="00A0095D">
      <w:pPr>
        <w:spacing w:before="180" w:after="180" w:line="276" w:lineRule="auto"/>
        <w:jc w:val="both"/>
        <w:rPr>
          <w:rFonts w:ascii="Arial" w:eastAsia="Arial" w:hAnsi="Arial" w:cs="Arial"/>
          <w:sz w:val="24"/>
          <w:szCs w:val="24"/>
          <w:highlight w:val="white"/>
        </w:rPr>
      </w:pPr>
      <w:r>
        <w:rPr>
          <w:rFonts w:ascii="Arial" w:eastAsia="Arial" w:hAnsi="Arial" w:cs="Arial"/>
          <w:b/>
          <w:sz w:val="24"/>
          <w:szCs w:val="24"/>
          <w:highlight w:val="white"/>
        </w:rPr>
        <w:t xml:space="preserve">Artículo 29. Educación media académica. </w:t>
      </w:r>
      <w:r>
        <w:rPr>
          <w:rFonts w:ascii="Arial" w:eastAsia="Arial" w:hAnsi="Arial" w:cs="Arial"/>
          <w:sz w:val="24"/>
          <w:szCs w:val="24"/>
          <w:highlight w:val="white"/>
        </w:rPr>
        <w:t>La educación media académica permitirá al estudiante, según sus intereses y capacidades, profundizar en un campo específico de las ciencias, las artes o las humanidades y acceder a la educación superior.</w:t>
      </w:r>
    </w:p>
    <w:p w:rsidR="0023288B" w:rsidRDefault="00A0095D">
      <w:pPr>
        <w:spacing w:before="180" w:after="180" w:line="276" w:lineRule="auto"/>
        <w:jc w:val="both"/>
        <w:rPr>
          <w:rFonts w:ascii="Arial" w:eastAsia="Arial" w:hAnsi="Arial" w:cs="Arial"/>
          <w:b/>
          <w:sz w:val="24"/>
          <w:szCs w:val="24"/>
          <w:highlight w:val="white"/>
        </w:rPr>
      </w:pPr>
      <w:r>
        <w:rPr>
          <w:rFonts w:ascii="Arial" w:eastAsia="Arial" w:hAnsi="Arial" w:cs="Arial"/>
          <w:b/>
          <w:sz w:val="24"/>
          <w:szCs w:val="24"/>
          <w:highlight w:val="white"/>
        </w:rPr>
        <w:t>Ley 98 de 1993 “Ley del Libro”</w:t>
      </w:r>
    </w:p>
    <w:p w:rsidR="0023288B" w:rsidRDefault="00A0095D">
      <w:pPr>
        <w:shd w:val="clear" w:color="auto" w:fill="FFFFFF"/>
        <w:spacing w:before="240" w:after="240" w:line="276" w:lineRule="auto"/>
        <w:jc w:val="both"/>
        <w:rPr>
          <w:rFonts w:ascii="Arial" w:eastAsia="Arial" w:hAnsi="Arial" w:cs="Arial"/>
          <w:sz w:val="24"/>
          <w:szCs w:val="24"/>
          <w:highlight w:val="white"/>
        </w:rPr>
      </w:pPr>
      <w:r>
        <w:rPr>
          <w:rFonts w:ascii="Arial" w:eastAsia="Arial" w:hAnsi="Arial" w:cs="Arial"/>
          <w:b/>
          <w:sz w:val="24"/>
          <w:szCs w:val="24"/>
          <w:highlight w:val="white"/>
        </w:rPr>
        <w:t>Artículo 1</w:t>
      </w:r>
      <w:r>
        <w:rPr>
          <w:rFonts w:ascii="Arial" w:eastAsia="Arial" w:hAnsi="Arial" w:cs="Arial"/>
          <w:b/>
          <w:sz w:val="25"/>
          <w:szCs w:val="25"/>
          <w:highlight w:val="white"/>
        </w:rPr>
        <w:t xml:space="preserve">. </w:t>
      </w:r>
      <w:r>
        <w:rPr>
          <w:rFonts w:ascii="Arial" w:eastAsia="Arial" w:hAnsi="Arial" w:cs="Arial"/>
          <w:sz w:val="24"/>
          <w:szCs w:val="24"/>
          <w:highlight w:val="white"/>
        </w:rPr>
        <w:t>La presente Ley, en cumplimiento y desarrollo de los artículos números 70 y 71 de la Constitución Nacional, tiene los siguientes objetivos:</w:t>
      </w:r>
    </w:p>
    <w:p w:rsidR="0023288B" w:rsidRDefault="00A0095D">
      <w:pPr>
        <w:shd w:val="clear" w:color="auto" w:fill="FFFFFF"/>
        <w:spacing w:before="240" w:after="240" w:line="276" w:lineRule="auto"/>
        <w:jc w:val="both"/>
        <w:rPr>
          <w:rFonts w:ascii="Arial" w:eastAsia="Arial" w:hAnsi="Arial" w:cs="Arial"/>
          <w:sz w:val="24"/>
          <w:szCs w:val="24"/>
          <w:highlight w:val="white"/>
        </w:rPr>
      </w:pPr>
      <w:r>
        <w:rPr>
          <w:rFonts w:ascii="Arial" w:eastAsia="Arial" w:hAnsi="Arial" w:cs="Arial"/>
          <w:sz w:val="24"/>
          <w:szCs w:val="24"/>
          <w:highlight w:val="white"/>
        </w:rPr>
        <w:t>a) Lograr la plena democratización del libro y su uso más amplio como medio principal e insustituible en la difusión de la cultura, la transmisión del conocimiento, el fomento de la investigación social y científica, la conservación del patrimonio de la Nación y el mejoramiento de la calidad de vida de todos los colombianos;</w:t>
      </w:r>
    </w:p>
    <w:p w:rsidR="0023288B" w:rsidRDefault="00A0095D">
      <w:pPr>
        <w:spacing w:before="180" w:after="180" w:line="276" w:lineRule="auto"/>
        <w:jc w:val="both"/>
        <w:rPr>
          <w:rFonts w:ascii="Arial" w:eastAsia="Arial" w:hAnsi="Arial" w:cs="Arial"/>
          <w:sz w:val="24"/>
          <w:szCs w:val="24"/>
          <w:highlight w:val="white"/>
        </w:rPr>
      </w:pPr>
      <w:r>
        <w:rPr>
          <w:rFonts w:ascii="Arial" w:eastAsia="Arial" w:hAnsi="Arial" w:cs="Arial"/>
          <w:sz w:val="24"/>
          <w:szCs w:val="24"/>
          <w:highlight w:val="white"/>
        </w:rPr>
        <w:t>(...)</w:t>
      </w:r>
    </w:p>
    <w:p w:rsidR="0023288B" w:rsidRDefault="00A0095D">
      <w:pPr>
        <w:shd w:val="clear" w:color="auto" w:fill="FFFFFF"/>
        <w:spacing w:before="240" w:after="240" w:line="276" w:lineRule="auto"/>
        <w:jc w:val="both"/>
        <w:rPr>
          <w:rFonts w:ascii="Arial" w:eastAsia="Arial" w:hAnsi="Arial" w:cs="Arial"/>
          <w:sz w:val="24"/>
          <w:szCs w:val="24"/>
          <w:highlight w:val="white"/>
        </w:rPr>
      </w:pPr>
      <w:r>
        <w:rPr>
          <w:rFonts w:ascii="Arial" w:eastAsia="Arial" w:hAnsi="Arial" w:cs="Arial"/>
          <w:sz w:val="24"/>
          <w:szCs w:val="24"/>
          <w:highlight w:val="white"/>
        </w:rPr>
        <w:t>c) Estimular el hábito de la lectura de los colombianos;</w:t>
      </w:r>
    </w:p>
    <w:p w:rsidR="0023288B" w:rsidRDefault="00A0095D">
      <w:pPr>
        <w:shd w:val="clear" w:color="auto" w:fill="FFFFFF"/>
        <w:spacing w:before="240" w:after="240" w:line="276" w:lineRule="auto"/>
        <w:jc w:val="both"/>
        <w:rPr>
          <w:rFonts w:ascii="Arial" w:eastAsia="Arial" w:hAnsi="Arial" w:cs="Arial"/>
          <w:b/>
          <w:sz w:val="24"/>
          <w:szCs w:val="24"/>
          <w:highlight w:val="white"/>
        </w:rPr>
      </w:pPr>
      <w:r>
        <w:rPr>
          <w:rFonts w:ascii="Arial" w:eastAsia="Arial" w:hAnsi="Arial" w:cs="Arial"/>
          <w:sz w:val="24"/>
          <w:szCs w:val="24"/>
          <w:highlight w:val="white"/>
        </w:rPr>
        <w:t>d) Convertir a Colombia en un gran centro editorial, a fin de que pueda competir en el mercado internacional;</w:t>
      </w:r>
    </w:p>
    <w:p w:rsidR="0023288B" w:rsidRDefault="00A0095D">
      <w:pPr>
        <w:shd w:val="clear" w:color="auto" w:fill="FFFFFF"/>
        <w:spacing w:before="240" w:after="240" w:line="276" w:lineRule="auto"/>
        <w:jc w:val="both"/>
        <w:rPr>
          <w:rFonts w:ascii="Arial" w:eastAsia="Arial" w:hAnsi="Arial" w:cs="Arial"/>
          <w:sz w:val="24"/>
          <w:szCs w:val="24"/>
          <w:highlight w:val="white"/>
        </w:rPr>
      </w:pPr>
      <w:r>
        <w:rPr>
          <w:rFonts w:ascii="Arial" w:eastAsia="Arial" w:hAnsi="Arial" w:cs="Arial"/>
          <w:sz w:val="24"/>
          <w:szCs w:val="24"/>
          <w:highlight w:val="white"/>
        </w:rPr>
        <w:t>(...)</w:t>
      </w:r>
    </w:p>
    <w:p w:rsidR="0023288B" w:rsidRDefault="0023288B">
      <w:pPr>
        <w:shd w:val="clear" w:color="auto" w:fill="FFFFFF"/>
        <w:spacing w:before="240" w:after="240" w:line="276" w:lineRule="auto"/>
        <w:jc w:val="both"/>
        <w:rPr>
          <w:rFonts w:ascii="Arial" w:eastAsia="Arial" w:hAnsi="Arial" w:cs="Arial"/>
          <w:sz w:val="24"/>
          <w:szCs w:val="24"/>
          <w:highlight w:val="white"/>
        </w:rPr>
      </w:pPr>
    </w:p>
    <w:p w:rsidR="0023288B" w:rsidRDefault="0023288B">
      <w:pPr>
        <w:shd w:val="clear" w:color="auto" w:fill="FFFFFF"/>
        <w:spacing w:before="240" w:after="240" w:line="276" w:lineRule="auto"/>
        <w:jc w:val="both"/>
        <w:rPr>
          <w:rFonts w:ascii="Arial" w:eastAsia="Arial" w:hAnsi="Arial" w:cs="Arial"/>
          <w:sz w:val="24"/>
          <w:szCs w:val="24"/>
          <w:highlight w:val="white"/>
        </w:rPr>
      </w:pPr>
    </w:p>
    <w:p w:rsidR="0023288B" w:rsidRDefault="00A0095D">
      <w:pPr>
        <w:numPr>
          <w:ilvl w:val="0"/>
          <w:numId w:val="11"/>
        </w:numPr>
        <w:shd w:val="clear" w:color="auto" w:fill="FFFFFF"/>
        <w:spacing w:after="240" w:line="276" w:lineRule="auto"/>
        <w:jc w:val="both"/>
        <w:rPr>
          <w:rFonts w:ascii="Arial" w:eastAsia="Arial" w:hAnsi="Arial" w:cs="Arial"/>
          <w:b/>
          <w:sz w:val="24"/>
          <w:szCs w:val="24"/>
          <w:highlight w:val="white"/>
        </w:rPr>
      </w:pPr>
      <w:r>
        <w:rPr>
          <w:rFonts w:ascii="Arial" w:eastAsia="Arial" w:hAnsi="Arial" w:cs="Arial"/>
          <w:b/>
          <w:sz w:val="24"/>
          <w:szCs w:val="24"/>
          <w:highlight w:val="white"/>
        </w:rPr>
        <w:lastRenderedPageBreak/>
        <w:t>CONPES 4068 "Política Nacional de Lectura, Escritura, Oralidad y Bibliotecas Escolares"</w:t>
      </w:r>
    </w:p>
    <w:p w:rsidR="0023288B" w:rsidRDefault="00A0095D">
      <w:pPr>
        <w:shd w:val="clear" w:color="auto" w:fill="FFFFFF"/>
        <w:spacing w:after="240" w:line="276" w:lineRule="auto"/>
        <w:jc w:val="both"/>
        <w:rPr>
          <w:rFonts w:ascii="Times New Roman" w:eastAsia="Times New Roman" w:hAnsi="Times New Roman" w:cs="Times New Roman"/>
        </w:rPr>
      </w:pPr>
      <w:r>
        <w:rPr>
          <w:rFonts w:ascii="Arial" w:eastAsia="Arial" w:hAnsi="Arial" w:cs="Arial"/>
          <w:sz w:val="24"/>
          <w:szCs w:val="24"/>
          <w:highlight w:val="white"/>
        </w:rPr>
        <w:t>Aprobado el 20 de diciembre de 2021, estableció como objetivo: "promover el desarrollo de capacidades en lectura, escritura y oralidad en la población colombiana a partir de: (i,) la implementación de acciones que complementen la gestión que han adelantado los sectores de educación y cultura para garantizar el acceso a la cultura oral y escrita en condiciones de calidad, y (ii) la convocatoria de otros sectores del Gobierno nacional cuya participación es relevante para el cumplimiento de los objetivos propuestos, incluyendo la promoción de la gestión del conocimiento para el mejoramiento constante de la política pública y la investigación".</w:t>
      </w:r>
    </w:p>
    <w:p w:rsidR="0023288B" w:rsidRDefault="00A0095D">
      <w:pPr>
        <w:numPr>
          <w:ilvl w:val="0"/>
          <w:numId w:val="7"/>
        </w:numPr>
        <w:spacing w:before="240" w:after="240" w:line="276" w:lineRule="auto"/>
        <w:jc w:val="both"/>
        <w:rPr>
          <w:rFonts w:ascii="Arial" w:eastAsia="Arial" w:hAnsi="Arial" w:cs="Arial"/>
          <w:b/>
          <w:i/>
          <w:sz w:val="24"/>
          <w:szCs w:val="24"/>
        </w:rPr>
      </w:pPr>
      <w:r>
        <w:rPr>
          <w:rFonts w:ascii="Arial" w:eastAsia="Arial" w:hAnsi="Arial" w:cs="Arial"/>
          <w:b/>
          <w:i/>
          <w:sz w:val="24"/>
          <w:szCs w:val="24"/>
        </w:rPr>
        <w:t>DE RANGO DISTRITAL</w:t>
      </w:r>
    </w:p>
    <w:p w:rsidR="0023288B" w:rsidRDefault="00A0095D">
      <w:pPr>
        <w:numPr>
          <w:ilvl w:val="0"/>
          <w:numId w:val="1"/>
        </w:numPr>
        <w:spacing w:before="180" w:after="180" w:line="276" w:lineRule="auto"/>
        <w:jc w:val="both"/>
        <w:rPr>
          <w:rFonts w:ascii="Arial" w:eastAsia="Arial" w:hAnsi="Arial" w:cs="Arial"/>
          <w:b/>
          <w:sz w:val="24"/>
          <w:szCs w:val="24"/>
          <w:highlight w:val="white"/>
        </w:rPr>
      </w:pPr>
      <w:r>
        <w:rPr>
          <w:rFonts w:ascii="Arial" w:eastAsia="Arial" w:hAnsi="Arial" w:cs="Arial"/>
          <w:b/>
          <w:sz w:val="24"/>
          <w:szCs w:val="24"/>
          <w:highlight w:val="white"/>
        </w:rPr>
        <w:t>Acuerdo Distrital 93 de 2003</w:t>
      </w:r>
    </w:p>
    <w:p w:rsidR="0023288B" w:rsidRDefault="00A0095D">
      <w:pPr>
        <w:shd w:val="clear" w:color="auto" w:fill="FFFFFF"/>
        <w:spacing w:line="276" w:lineRule="auto"/>
        <w:jc w:val="both"/>
        <w:rPr>
          <w:rFonts w:ascii="Arial" w:eastAsia="Arial" w:hAnsi="Arial" w:cs="Arial"/>
          <w:sz w:val="24"/>
          <w:szCs w:val="24"/>
          <w:highlight w:val="white"/>
        </w:rPr>
      </w:pPr>
      <w:r>
        <w:rPr>
          <w:rFonts w:ascii="Arial" w:eastAsia="Arial" w:hAnsi="Arial" w:cs="Arial"/>
          <w:b/>
          <w:sz w:val="24"/>
          <w:szCs w:val="24"/>
          <w:highlight w:val="white"/>
        </w:rPr>
        <w:t>Artículo primero.</w:t>
      </w:r>
      <w:r>
        <w:rPr>
          <w:rFonts w:ascii="Arial" w:eastAsia="Arial" w:hAnsi="Arial" w:cs="Arial"/>
          <w:sz w:val="24"/>
          <w:szCs w:val="24"/>
          <w:highlight w:val="white"/>
        </w:rPr>
        <w:t xml:space="preserve"> Día del Fomento de la Lectura. Consagrar el día 6 de marzo como el día del fomento de la lectura en Bogotá, en homenaje al premio Nobel de Literatura, GABRIEL GARCÍA MÁRQUEZ, en el día de su natalicio.</w:t>
      </w:r>
    </w:p>
    <w:p w:rsidR="0023288B" w:rsidRDefault="00A0095D">
      <w:pPr>
        <w:shd w:val="clear" w:color="auto" w:fill="FFFFFF"/>
        <w:spacing w:line="276" w:lineRule="auto"/>
        <w:jc w:val="both"/>
        <w:rPr>
          <w:rFonts w:ascii="Arial" w:eastAsia="Arial" w:hAnsi="Arial" w:cs="Arial"/>
          <w:sz w:val="24"/>
          <w:szCs w:val="24"/>
          <w:highlight w:val="white"/>
        </w:rPr>
      </w:pPr>
      <w:r>
        <w:rPr>
          <w:rFonts w:ascii="Arial" w:eastAsia="Arial" w:hAnsi="Arial" w:cs="Arial"/>
          <w:sz w:val="24"/>
          <w:szCs w:val="24"/>
          <w:highlight w:val="white"/>
        </w:rPr>
        <w:br/>
      </w:r>
      <w:r>
        <w:rPr>
          <w:rFonts w:ascii="Arial" w:eastAsia="Arial" w:hAnsi="Arial" w:cs="Arial"/>
          <w:b/>
          <w:sz w:val="24"/>
          <w:szCs w:val="24"/>
          <w:highlight w:val="white"/>
        </w:rPr>
        <w:t xml:space="preserve">Artículo segundo. </w:t>
      </w:r>
      <w:r>
        <w:rPr>
          <w:rFonts w:ascii="Arial" w:eastAsia="Arial" w:hAnsi="Arial" w:cs="Arial"/>
          <w:sz w:val="24"/>
          <w:szCs w:val="24"/>
          <w:highlight w:val="white"/>
        </w:rPr>
        <w:t>El Alcalde Mayor dispondrá las acciones pertinentes para que, en los actos de la celebración dispuesta en el artículo primero de este acuerdo, se realicen, entre otras, las siguientes actividades:</w:t>
      </w:r>
    </w:p>
    <w:p w:rsidR="0023288B" w:rsidRDefault="00A0095D">
      <w:pPr>
        <w:numPr>
          <w:ilvl w:val="0"/>
          <w:numId w:val="9"/>
        </w:numPr>
        <w:spacing w:after="0" w:line="276" w:lineRule="auto"/>
        <w:jc w:val="both"/>
        <w:rPr>
          <w:rFonts w:ascii="Arial" w:eastAsia="Arial" w:hAnsi="Arial" w:cs="Arial"/>
          <w:sz w:val="24"/>
          <w:szCs w:val="24"/>
          <w:highlight w:val="white"/>
        </w:rPr>
      </w:pPr>
      <w:r>
        <w:rPr>
          <w:rFonts w:ascii="Arial" w:eastAsia="Arial" w:hAnsi="Arial" w:cs="Arial"/>
          <w:sz w:val="24"/>
          <w:szCs w:val="24"/>
          <w:highlight w:val="white"/>
        </w:rPr>
        <w:t>Promoción de conferencias, foros, mesas redondas o charlas, con la participación de autores, lectores, estudiantes, padres y madres de familias y jóvenes.</w:t>
      </w:r>
    </w:p>
    <w:p w:rsidR="0023288B" w:rsidRDefault="00A0095D">
      <w:pPr>
        <w:numPr>
          <w:ilvl w:val="0"/>
          <w:numId w:val="9"/>
        </w:numPr>
        <w:spacing w:after="0" w:line="276" w:lineRule="auto"/>
        <w:jc w:val="both"/>
        <w:rPr>
          <w:rFonts w:ascii="Arial" w:eastAsia="Arial" w:hAnsi="Arial" w:cs="Arial"/>
          <w:sz w:val="24"/>
          <w:szCs w:val="24"/>
          <w:highlight w:val="white"/>
        </w:rPr>
      </w:pPr>
      <w:r>
        <w:rPr>
          <w:rFonts w:ascii="Arial" w:eastAsia="Arial" w:hAnsi="Arial" w:cs="Arial"/>
          <w:sz w:val="24"/>
          <w:szCs w:val="24"/>
          <w:highlight w:val="white"/>
        </w:rPr>
        <w:t>Talleres de lecturas para niños y jóvenes.</w:t>
      </w:r>
    </w:p>
    <w:p w:rsidR="0023288B" w:rsidRDefault="00A0095D">
      <w:pPr>
        <w:numPr>
          <w:ilvl w:val="0"/>
          <w:numId w:val="9"/>
        </w:numPr>
        <w:spacing w:after="0" w:line="276" w:lineRule="auto"/>
        <w:jc w:val="both"/>
        <w:rPr>
          <w:rFonts w:ascii="Arial" w:eastAsia="Arial" w:hAnsi="Arial" w:cs="Arial"/>
          <w:sz w:val="24"/>
          <w:szCs w:val="24"/>
          <w:highlight w:val="white"/>
        </w:rPr>
      </w:pPr>
      <w:r>
        <w:rPr>
          <w:rFonts w:ascii="Arial" w:eastAsia="Arial" w:hAnsi="Arial" w:cs="Arial"/>
          <w:sz w:val="24"/>
          <w:szCs w:val="24"/>
          <w:highlight w:val="white"/>
        </w:rPr>
        <w:t>Promoción de jóvenes escritores a través de concursos literarios sobre distintos géneros (novela, poesía y ensayo)</w:t>
      </w:r>
    </w:p>
    <w:p w:rsidR="0023288B" w:rsidRDefault="00A0095D">
      <w:pPr>
        <w:numPr>
          <w:ilvl w:val="0"/>
          <w:numId w:val="9"/>
        </w:numPr>
        <w:spacing w:after="0" w:line="276" w:lineRule="auto"/>
        <w:jc w:val="both"/>
        <w:rPr>
          <w:rFonts w:ascii="Arial" w:eastAsia="Arial" w:hAnsi="Arial" w:cs="Arial"/>
          <w:sz w:val="24"/>
          <w:szCs w:val="24"/>
          <w:highlight w:val="white"/>
        </w:rPr>
      </w:pPr>
      <w:r>
        <w:rPr>
          <w:rFonts w:ascii="Arial" w:eastAsia="Arial" w:hAnsi="Arial" w:cs="Arial"/>
          <w:sz w:val="24"/>
          <w:szCs w:val="24"/>
          <w:highlight w:val="white"/>
        </w:rPr>
        <w:t>Exhibición y lectura sobre el libro y su proceso de producción.</w:t>
      </w:r>
    </w:p>
    <w:p w:rsidR="0023288B" w:rsidRDefault="00A0095D">
      <w:pPr>
        <w:numPr>
          <w:ilvl w:val="0"/>
          <w:numId w:val="9"/>
        </w:numPr>
        <w:spacing w:after="0" w:line="276" w:lineRule="auto"/>
        <w:jc w:val="both"/>
        <w:rPr>
          <w:rFonts w:ascii="Arial" w:eastAsia="Arial" w:hAnsi="Arial" w:cs="Arial"/>
          <w:sz w:val="24"/>
          <w:szCs w:val="24"/>
          <w:highlight w:val="white"/>
        </w:rPr>
      </w:pPr>
      <w:r>
        <w:rPr>
          <w:rFonts w:ascii="Arial" w:eastAsia="Arial" w:hAnsi="Arial" w:cs="Arial"/>
          <w:sz w:val="24"/>
          <w:szCs w:val="24"/>
          <w:highlight w:val="white"/>
        </w:rPr>
        <w:t>Sensibilización a estudiantes y lectores respecto a los derechos de autor.</w:t>
      </w:r>
    </w:p>
    <w:p w:rsidR="0023288B" w:rsidRDefault="00A0095D">
      <w:pPr>
        <w:numPr>
          <w:ilvl w:val="0"/>
          <w:numId w:val="9"/>
        </w:numPr>
        <w:spacing w:after="0" w:line="276" w:lineRule="auto"/>
        <w:jc w:val="both"/>
        <w:rPr>
          <w:rFonts w:ascii="Arial" w:eastAsia="Arial" w:hAnsi="Arial" w:cs="Arial"/>
          <w:sz w:val="24"/>
          <w:szCs w:val="24"/>
          <w:highlight w:val="white"/>
        </w:rPr>
      </w:pPr>
      <w:r>
        <w:rPr>
          <w:rFonts w:ascii="Arial" w:eastAsia="Arial" w:hAnsi="Arial" w:cs="Arial"/>
          <w:sz w:val="24"/>
          <w:szCs w:val="24"/>
          <w:highlight w:val="white"/>
        </w:rPr>
        <w:t>Concurso Distrital de lemas acerca de la lectura, los libros y los autores.</w:t>
      </w:r>
    </w:p>
    <w:p w:rsidR="0023288B" w:rsidRDefault="00A0095D">
      <w:pPr>
        <w:numPr>
          <w:ilvl w:val="0"/>
          <w:numId w:val="9"/>
        </w:numPr>
        <w:spacing w:after="0" w:line="276" w:lineRule="auto"/>
        <w:jc w:val="both"/>
        <w:rPr>
          <w:rFonts w:ascii="Arial" w:eastAsia="Arial" w:hAnsi="Arial" w:cs="Arial"/>
          <w:sz w:val="24"/>
          <w:szCs w:val="24"/>
          <w:highlight w:val="white"/>
        </w:rPr>
      </w:pPr>
      <w:r>
        <w:rPr>
          <w:rFonts w:ascii="Arial" w:eastAsia="Arial" w:hAnsi="Arial" w:cs="Arial"/>
          <w:sz w:val="24"/>
          <w:szCs w:val="24"/>
          <w:highlight w:val="white"/>
        </w:rPr>
        <w:t>Actividades de fomento a la lectura en todas las bibliotecas públicas distritales.</w:t>
      </w:r>
    </w:p>
    <w:p w:rsidR="0023288B" w:rsidRDefault="00A0095D">
      <w:pPr>
        <w:numPr>
          <w:ilvl w:val="0"/>
          <w:numId w:val="9"/>
        </w:numPr>
        <w:spacing w:after="0" w:line="276" w:lineRule="auto"/>
        <w:jc w:val="both"/>
        <w:rPr>
          <w:rFonts w:ascii="Arial" w:eastAsia="Arial" w:hAnsi="Arial" w:cs="Arial"/>
          <w:sz w:val="24"/>
          <w:szCs w:val="24"/>
          <w:highlight w:val="white"/>
        </w:rPr>
      </w:pPr>
      <w:r>
        <w:rPr>
          <w:rFonts w:ascii="Arial" w:eastAsia="Arial" w:hAnsi="Arial" w:cs="Arial"/>
          <w:sz w:val="24"/>
          <w:szCs w:val="24"/>
          <w:highlight w:val="white"/>
        </w:rPr>
        <w:t>Movilización de jóvenes voluntarios para que durante ese día lean a personas enfermas, ciegas, analfabetas, adultos mayores y otras.</w:t>
      </w:r>
    </w:p>
    <w:p w:rsidR="0023288B" w:rsidRDefault="00A0095D">
      <w:pPr>
        <w:numPr>
          <w:ilvl w:val="0"/>
          <w:numId w:val="9"/>
        </w:numPr>
        <w:spacing w:after="0" w:line="276" w:lineRule="auto"/>
        <w:jc w:val="both"/>
        <w:rPr>
          <w:rFonts w:ascii="Arial" w:eastAsia="Arial" w:hAnsi="Arial" w:cs="Arial"/>
          <w:sz w:val="24"/>
          <w:szCs w:val="24"/>
          <w:highlight w:val="white"/>
        </w:rPr>
      </w:pPr>
      <w:r>
        <w:rPr>
          <w:rFonts w:ascii="Arial" w:eastAsia="Arial" w:hAnsi="Arial" w:cs="Arial"/>
          <w:sz w:val="24"/>
          <w:szCs w:val="24"/>
          <w:highlight w:val="white"/>
        </w:rPr>
        <w:lastRenderedPageBreak/>
        <w:t>Gestionar donaciones de libros para las bibliotecas de los sectores sociales más necesitados.</w:t>
      </w:r>
    </w:p>
    <w:p w:rsidR="0023288B" w:rsidRDefault="00A0095D">
      <w:pPr>
        <w:numPr>
          <w:ilvl w:val="0"/>
          <w:numId w:val="2"/>
        </w:numPr>
        <w:spacing w:before="180" w:after="200" w:line="276" w:lineRule="auto"/>
        <w:jc w:val="both"/>
        <w:rPr>
          <w:rFonts w:ascii="Arial" w:eastAsia="Arial" w:hAnsi="Arial" w:cs="Arial"/>
          <w:b/>
          <w:sz w:val="24"/>
          <w:szCs w:val="24"/>
          <w:highlight w:val="white"/>
        </w:rPr>
      </w:pPr>
      <w:r>
        <w:rPr>
          <w:rFonts w:ascii="Arial" w:eastAsia="Arial" w:hAnsi="Arial" w:cs="Arial"/>
          <w:b/>
          <w:sz w:val="24"/>
          <w:szCs w:val="24"/>
          <w:highlight w:val="white"/>
        </w:rPr>
        <w:t>Decreto 034 de 2023. Por medio del cual se adopta la política pública de Lectura, Escritura y Oralidad 2022 - 2040.</w:t>
      </w:r>
    </w:p>
    <w:p w:rsidR="0023288B" w:rsidRDefault="00A0095D">
      <w:pPr>
        <w:spacing w:before="180" w:after="180" w:line="276" w:lineRule="auto"/>
        <w:jc w:val="both"/>
        <w:rPr>
          <w:rFonts w:ascii="Arial" w:eastAsia="Arial" w:hAnsi="Arial" w:cs="Arial"/>
          <w:sz w:val="24"/>
          <w:szCs w:val="24"/>
          <w:highlight w:val="white"/>
        </w:rPr>
      </w:pPr>
      <w:r>
        <w:rPr>
          <w:rFonts w:ascii="Arial" w:eastAsia="Arial" w:hAnsi="Arial" w:cs="Arial"/>
          <w:b/>
          <w:sz w:val="24"/>
          <w:szCs w:val="24"/>
          <w:highlight w:val="white"/>
        </w:rPr>
        <w:t>Artículo 2. Concepto.</w:t>
      </w:r>
      <w:r>
        <w:rPr>
          <w:rFonts w:ascii="Arial" w:eastAsia="Arial" w:hAnsi="Arial" w:cs="Arial"/>
          <w:sz w:val="24"/>
          <w:szCs w:val="24"/>
          <w:highlight w:val="white"/>
        </w:rPr>
        <w:t xml:space="preserve"> La Política Pública de Lectura, Escritura y Oralidad establece los lineamientos distritales para ampliar el acceso de la ciudadanía a los espacios y a las prácticas de la cultura escrita en la ciudad y orienta las acciones de los agentes institucionales, comunitarios y sociales involucrados en el sector del sistema del libro y la lectura, y de los actores distritales que a través de su competencia permiten intervenir las brechas que limitan la vinculación a la cultura escrita.</w:t>
      </w:r>
    </w:p>
    <w:p w:rsidR="0023288B" w:rsidRDefault="00A0095D">
      <w:pPr>
        <w:spacing w:before="180" w:after="180" w:line="276" w:lineRule="auto"/>
        <w:jc w:val="both"/>
        <w:rPr>
          <w:rFonts w:ascii="Arial" w:eastAsia="Arial" w:hAnsi="Arial" w:cs="Arial"/>
          <w:color w:val="000000"/>
          <w:sz w:val="24"/>
          <w:szCs w:val="24"/>
        </w:rPr>
      </w:pPr>
      <w:r>
        <w:rPr>
          <w:rFonts w:ascii="Arial" w:eastAsia="Arial" w:hAnsi="Arial" w:cs="Arial"/>
          <w:b/>
          <w:sz w:val="24"/>
          <w:szCs w:val="24"/>
          <w:highlight w:val="white"/>
        </w:rPr>
        <w:t>Artículo</w:t>
      </w:r>
      <w:r>
        <w:rPr>
          <w:rFonts w:ascii="Arial" w:eastAsia="Arial" w:hAnsi="Arial" w:cs="Arial"/>
          <w:sz w:val="24"/>
          <w:szCs w:val="24"/>
          <w:highlight w:val="white"/>
        </w:rPr>
        <w:t xml:space="preserve"> </w:t>
      </w:r>
      <w:r>
        <w:rPr>
          <w:rFonts w:ascii="Arial" w:eastAsia="Arial" w:hAnsi="Arial" w:cs="Arial"/>
          <w:b/>
          <w:sz w:val="24"/>
          <w:szCs w:val="24"/>
          <w:highlight w:val="white"/>
        </w:rPr>
        <w:t>10. Eje 1 - Consolidación de procesos de mediación y formación en el curso de la vida desde una perspectiva diversa y de participación ciudadana para la apropiación efectiva de la lectura, la escritura y la oralidad en los espacios formales y no formales de la cultura escrita en Bogotá.</w:t>
      </w:r>
      <w:r>
        <w:rPr>
          <w:rFonts w:ascii="Arial" w:eastAsia="Arial" w:hAnsi="Arial" w:cs="Arial"/>
          <w:color w:val="333333"/>
          <w:sz w:val="24"/>
          <w:szCs w:val="24"/>
          <w:highlight w:val="white"/>
        </w:rPr>
        <w:t xml:space="preserve"> El sector cultura, recreación y deporte en cabeza de la Dirección de Lectura y Bibliotecas y su Red de Bibliotecas Públicas y el sector educación en cabeza de la Secretaría de Educación del Distrito y su red de Bibliotecas escolares deberán promover procesos formativos y de mediación desde una perspectiva diversa e inclusiva, la cual reconozca el aprendizaje a lo largo de la vida, el diálogo de saberes, el multialfabetismo y los distintos modos y espacios en los que tales procesos suceden.</w:t>
      </w:r>
    </w:p>
    <w:p w:rsidR="0023288B" w:rsidRDefault="00A0095D">
      <w:pPr>
        <w:numPr>
          <w:ilvl w:val="0"/>
          <w:numId w:val="6"/>
        </w:numPr>
        <w:pBdr>
          <w:top w:val="nil"/>
          <w:left w:val="nil"/>
          <w:bottom w:val="nil"/>
          <w:right w:val="nil"/>
          <w:between w:val="nil"/>
        </w:pBdr>
        <w:spacing w:after="0" w:line="276" w:lineRule="auto"/>
        <w:jc w:val="both"/>
        <w:rPr>
          <w:rFonts w:ascii="Arial" w:eastAsia="Arial" w:hAnsi="Arial" w:cs="Arial"/>
          <w:b/>
          <w:color w:val="000000"/>
          <w:sz w:val="24"/>
          <w:szCs w:val="24"/>
        </w:rPr>
      </w:pPr>
      <w:r>
        <w:rPr>
          <w:rFonts w:ascii="Arial" w:eastAsia="Arial" w:hAnsi="Arial" w:cs="Arial"/>
          <w:b/>
          <w:color w:val="000000"/>
          <w:sz w:val="24"/>
          <w:szCs w:val="24"/>
        </w:rPr>
        <w:t>Plan Distrital de Desarrollo “Bogotá Camina Segura” 2024-2027</w:t>
      </w:r>
    </w:p>
    <w:p w:rsidR="0023288B" w:rsidRDefault="0023288B">
      <w:pPr>
        <w:pBdr>
          <w:top w:val="nil"/>
          <w:left w:val="nil"/>
          <w:bottom w:val="nil"/>
          <w:right w:val="nil"/>
          <w:between w:val="nil"/>
        </w:pBdr>
        <w:spacing w:line="276" w:lineRule="auto"/>
        <w:rPr>
          <w:rFonts w:ascii="Arial" w:eastAsia="Arial" w:hAnsi="Arial" w:cs="Arial"/>
          <w:color w:val="000000"/>
          <w:sz w:val="24"/>
          <w:szCs w:val="24"/>
        </w:rPr>
      </w:pPr>
    </w:p>
    <w:p w:rsidR="0023288B" w:rsidRDefault="00A0095D">
      <w:pPr>
        <w:pBdr>
          <w:top w:val="nil"/>
          <w:left w:val="nil"/>
          <w:bottom w:val="nil"/>
          <w:right w:val="nil"/>
          <w:between w:val="nil"/>
        </w:pBdr>
        <w:spacing w:line="276" w:lineRule="auto"/>
        <w:jc w:val="both"/>
        <w:rPr>
          <w:rFonts w:ascii="Arial" w:eastAsia="Arial" w:hAnsi="Arial" w:cs="Arial"/>
          <w:sz w:val="24"/>
          <w:szCs w:val="24"/>
        </w:rPr>
      </w:pPr>
      <w:r>
        <w:rPr>
          <w:rFonts w:ascii="Arial" w:eastAsia="Arial" w:hAnsi="Arial" w:cs="Arial"/>
          <w:color w:val="000000"/>
          <w:sz w:val="24"/>
          <w:szCs w:val="24"/>
        </w:rPr>
        <w:t>En el actual Plan de Desarrollo Económico, Social, Ambiental y de Obras Públicas del Distrito Capital 2024-2027 “Bogotá Camina Segura”, establece</w:t>
      </w:r>
      <w:r>
        <w:rPr>
          <w:rFonts w:ascii="Arial" w:eastAsia="Arial" w:hAnsi="Arial" w:cs="Arial"/>
          <w:sz w:val="24"/>
          <w:szCs w:val="24"/>
        </w:rPr>
        <w:t xml:space="preserve">: </w:t>
      </w:r>
    </w:p>
    <w:p w:rsidR="0023288B" w:rsidRDefault="00A0095D">
      <w:pPr>
        <w:pBdr>
          <w:top w:val="nil"/>
          <w:left w:val="nil"/>
          <w:bottom w:val="nil"/>
          <w:right w:val="nil"/>
          <w:between w:val="nil"/>
        </w:pBdr>
        <w:spacing w:line="276" w:lineRule="auto"/>
        <w:jc w:val="both"/>
        <w:rPr>
          <w:rFonts w:ascii="Arial" w:eastAsia="Arial" w:hAnsi="Arial" w:cs="Arial"/>
          <w:sz w:val="24"/>
          <w:szCs w:val="24"/>
          <w:highlight w:val="white"/>
        </w:rPr>
      </w:pPr>
      <w:r>
        <w:rPr>
          <w:rFonts w:ascii="Arial" w:eastAsia="Arial" w:hAnsi="Arial" w:cs="Arial"/>
          <w:b/>
          <w:sz w:val="24"/>
          <w:szCs w:val="24"/>
          <w:highlight w:val="white"/>
        </w:rPr>
        <w:t>Artículo 10.8.</w:t>
      </w:r>
      <w:r>
        <w:rPr>
          <w:rFonts w:ascii="Times New Roman" w:eastAsia="Times New Roman" w:hAnsi="Times New Roman" w:cs="Times New Roman"/>
          <w:b/>
          <w:sz w:val="20"/>
          <w:szCs w:val="20"/>
          <w:highlight w:val="white"/>
        </w:rPr>
        <w:t xml:space="preserve"> </w:t>
      </w:r>
      <w:r>
        <w:rPr>
          <w:rFonts w:ascii="Arial" w:eastAsia="Arial" w:hAnsi="Arial" w:cs="Arial"/>
          <w:b/>
          <w:sz w:val="24"/>
          <w:szCs w:val="24"/>
          <w:highlight w:val="white"/>
        </w:rPr>
        <w:t xml:space="preserve">Programa 14. Bogotá deportiva, recreativa, artística, patrimonial e intercultural. </w:t>
      </w:r>
      <w:r>
        <w:rPr>
          <w:rFonts w:ascii="Arial" w:eastAsia="Arial" w:hAnsi="Arial" w:cs="Arial"/>
          <w:sz w:val="24"/>
          <w:szCs w:val="24"/>
        </w:rPr>
        <w:t xml:space="preserve">El objetivo de este programa es contribuir a la salud mental y física de la ciudadanía en su ciclo de vida mediante el incentivo de la práctica deportiva, recreativa, artística, cultural y patrimonial en los barrios, comunidades y en la Bogotá Región, apropiándose de las diferentes disciplinas deportivas que oferta el distrito e invitando a conocer cada una de ellas, aprovechando los espacios públicos accesibles y seguros, haciendo uso de diversas plataformas en beneficio de la salud tanto física como mental y promoviendo hábitos de vida saludable, con ejercicios </w:t>
      </w:r>
      <w:r>
        <w:rPr>
          <w:rFonts w:ascii="Arial" w:eastAsia="Arial" w:hAnsi="Arial" w:cs="Arial"/>
          <w:sz w:val="24"/>
          <w:szCs w:val="24"/>
        </w:rPr>
        <w:lastRenderedPageBreak/>
        <w:t xml:space="preserve">que buscan relaciones interculturales. (...) </w:t>
      </w:r>
      <w:r>
        <w:rPr>
          <w:rFonts w:ascii="Arial" w:eastAsia="Arial" w:hAnsi="Arial" w:cs="Arial"/>
          <w:sz w:val="24"/>
          <w:szCs w:val="24"/>
          <w:highlight w:val="white"/>
        </w:rPr>
        <w:t xml:space="preserve">De igual manera, dentro de las actividades culturales que promueva este programa, la implementación de la política pública LEO (Lectura, escritura y oralidad 2022-2040) es indispensable para que las y los ciudadanos accedan cada vez más a los espacios y prácticas de cultura escrita de manera equitativa y sin discriminación. </w:t>
      </w:r>
    </w:p>
    <w:p w:rsidR="0023288B" w:rsidRDefault="00A0095D">
      <w:pPr>
        <w:shd w:val="clear" w:color="auto" w:fill="FFFFFF"/>
        <w:spacing w:after="0" w:line="276" w:lineRule="auto"/>
        <w:jc w:val="both"/>
        <w:rPr>
          <w:rFonts w:ascii="Arial" w:eastAsia="Arial" w:hAnsi="Arial" w:cs="Arial"/>
          <w:sz w:val="24"/>
          <w:szCs w:val="24"/>
          <w:highlight w:val="white"/>
        </w:rPr>
      </w:pPr>
      <w:r>
        <w:rPr>
          <w:rFonts w:ascii="Arial" w:eastAsia="Arial" w:hAnsi="Arial" w:cs="Arial"/>
          <w:b/>
          <w:sz w:val="24"/>
          <w:szCs w:val="24"/>
          <w:highlight w:val="white"/>
        </w:rPr>
        <w:t>Artículo  12.1.</w:t>
      </w:r>
      <w:r>
        <w:rPr>
          <w:rFonts w:ascii="Times New Roman" w:eastAsia="Times New Roman" w:hAnsi="Times New Roman" w:cs="Times New Roman"/>
          <w:b/>
          <w:sz w:val="20"/>
          <w:szCs w:val="20"/>
          <w:highlight w:val="white"/>
        </w:rPr>
        <w:t xml:space="preserve"> </w:t>
      </w:r>
      <w:r>
        <w:rPr>
          <w:rFonts w:ascii="Arial" w:eastAsia="Arial" w:hAnsi="Arial" w:cs="Arial"/>
          <w:b/>
          <w:sz w:val="24"/>
          <w:szCs w:val="24"/>
          <w:highlight w:val="white"/>
        </w:rPr>
        <w:t xml:space="preserve">Programa 16. Atención integral a la primera infancia y educación como eje del potencial humano. </w:t>
      </w:r>
      <w:r>
        <w:rPr>
          <w:rFonts w:ascii="Arial" w:eastAsia="Arial" w:hAnsi="Arial" w:cs="Arial"/>
          <w:sz w:val="24"/>
          <w:szCs w:val="24"/>
          <w:highlight w:val="white"/>
        </w:rPr>
        <w:t>Una educación de calidad es la responsable de brindarles a las niñas, niños, adolescentes y jóvenes formación en las habilidades emocionales y académicas que los convierten en ciudadanos integrales que aportan valor público, social y económico a la sociedad, con participación de las comunidades de padres, madres y cuidadores. Por lo anterior, el propósito del programa es, con la participación de las comunidades de padres, madres y cuidadores, fortalecer la calidad y cobertura en educación de niños, niñas, adolescentes y jóvenes, desarrollando habilidades y capacidades en matemáticas, lectura crítica, inglés, digitales, culturales, artísticas, patrimoniales, deportivas, ambientales, socioemocionales, económicas, financieras y productivas entre otras, para su desarrollo y consolidación de proyectos de vida.</w:t>
      </w:r>
    </w:p>
    <w:p w:rsidR="0023288B" w:rsidRDefault="0023288B">
      <w:pPr>
        <w:pBdr>
          <w:top w:val="nil"/>
          <w:left w:val="nil"/>
          <w:bottom w:val="nil"/>
          <w:right w:val="nil"/>
          <w:between w:val="nil"/>
        </w:pBdr>
        <w:spacing w:line="276" w:lineRule="auto"/>
        <w:jc w:val="both"/>
        <w:rPr>
          <w:rFonts w:ascii="Arial" w:eastAsia="Arial" w:hAnsi="Arial" w:cs="Arial"/>
          <w:sz w:val="24"/>
          <w:szCs w:val="24"/>
        </w:rPr>
      </w:pPr>
    </w:p>
    <w:p w:rsidR="0023288B" w:rsidRDefault="00A0095D">
      <w:pPr>
        <w:spacing w:line="276" w:lineRule="auto"/>
        <w:jc w:val="both"/>
        <w:rPr>
          <w:rFonts w:ascii="Arial" w:eastAsia="Arial" w:hAnsi="Arial" w:cs="Arial"/>
          <w:b/>
          <w:sz w:val="24"/>
          <w:szCs w:val="24"/>
        </w:rPr>
      </w:pPr>
      <w:r>
        <w:rPr>
          <w:rFonts w:ascii="Arial" w:eastAsia="Arial" w:hAnsi="Arial" w:cs="Arial"/>
          <w:b/>
          <w:sz w:val="24"/>
          <w:szCs w:val="24"/>
        </w:rPr>
        <w:t>V. COMPETENCIA DEL CONCEJO DE BOGOTÁ D.C.</w:t>
      </w:r>
    </w:p>
    <w:p w:rsidR="0023288B" w:rsidRDefault="00A0095D">
      <w:pPr>
        <w:pBdr>
          <w:top w:val="none" w:sz="0" w:space="0" w:color="000000"/>
          <w:left w:val="none" w:sz="0" w:space="0" w:color="000000"/>
          <w:bottom w:val="none" w:sz="0" w:space="0" w:color="000000"/>
          <w:right w:val="none" w:sz="0" w:space="0" w:color="000000"/>
          <w:between w:val="none" w:sz="0" w:space="0" w:color="000000"/>
        </w:pBdr>
        <w:spacing w:after="0" w:line="276" w:lineRule="auto"/>
        <w:jc w:val="both"/>
        <w:rPr>
          <w:rFonts w:ascii="Arial" w:eastAsia="Arial" w:hAnsi="Arial" w:cs="Arial"/>
          <w:sz w:val="24"/>
          <w:szCs w:val="24"/>
        </w:rPr>
      </w:pPr>
      <w:r>
        <w:rPr>
          <w:rFonts w:ascii="Arial" w:eastAsia="Arial" w:hAnsi="Arial" w:cs="Arial"/>
          <w:sz w:val="24"/>
          <w:szCs w:val="24"/>
        </w:rPr>
        <w:t>Los autores enfocan este eje en el marco constitucional y de rango Distrital, exponiendo que el Concejo de Bogotá, en el marco de su competencia constitucional y legal, tiene la facultad de dictar normas que promuevan la protección del patrimonio cultural y la diversidad étnica, conforme a los artículos 322, 323 y 324 de la Constitución Política de Colombia, y el Decreto Ley 1421 de 1993, que establece el régimen especial para Bogotá.</w:t>
      </w:r>
    </w:p>
    <w:p w:rsidR="0023288B" w:rsidRDefault="0023288B">
      <w:pPr>
        <w:pBdr>
          <w:top w:val="none" w:sz="0" w:space="0" w:color="000000"/>
          <w:left w:val="none" w:sz="0" w:space="0" w:color="000000"/>
          <w:bottom w:val="none" w:sz="0" w:space="0" w:color="000000"/>
          <w:right w:val="none" w:sz="0" w:space="0" w:color="000000"/>
          <w:between w:val="none" w:sz="0" w:space="0" w:color="000000"/>
        </w:pBdr>
        <w:spacing w:after="0" w:line="276" w:lineRule="auto"/>
        <w:jc w:val="both"/>
        <w:rPr>
          <w:rFonts w:ascii="Arial" w:eastAsia="Arial" w:hAnsi="Arial" w:cs="Arial"/>
          <w:sz w:val="24"/>
          <w:szCs w:val="24"/>
        </w:rPr>
      </w:pPr>
    </w:p>
    <w:p w:rsidR="0023288B" w:rsidRDefault="00A0095D">
      <w:pPr>
        <w:pBdr>
          <w:top w:val="none" w:sz="0" w:space="0" w:color="000000"/>
          <w:left w:val="none" w:sz="0" w:space="0" w:color="000000"/>
          <w:bottom w:val="none" w:sz="0" w:space="0" w:color="000000"/>
          <w:right w:val="none" w:sz="0" w:space="0" w:color="000000"/>
          <w:between w:val="none" w:sz="0" w:space="0" w:color="000000"/>
        </w:pBdr>
        <w:spacing w:after="0" w:line="276" w:lineRule="auto"/>
        <w:jc w:val="both"/>
        <w:rPr>
          <w:rFonts w:ascii="Arial" w:eastAsia="Arial" w:hAnsi="Arial" w:cs="Arial"/>
          <w:sz w:val="24"/>
          <w:szCs w:val="24"/>
        </w:rPr>
      </w:pPr>
      <w:r>
        <w:rPr>
          <w:rFonts w:ascii="Arial" w:eastAsia="Arial" w:hAnsi="Arial" w:cs="Arial"/>
          <w:sz w:val="24"/>
          <w:szCs w:val="24"/>
        </w:rPr>
        <w:t xml:space="preserve">Al respecto es necesario, como ponentes, enfatizar en que, desde el Reglamento Interno de la Corporación se expone: </w:t>
      </w:r>
    </w:p>
    <w:p w:rsidR="0023288B" w:rsidRDefault="00A0095D">
      <w:pPr>
        <w:spacing w:before="280" w:after="280" w:line="276" w:lineRule="auto"/>
        <w:ind w:left="720"/>
        <w:jc w:val="both"/>
        <w:rPr>
          <w:rFonts w:ascii="Arial" w:eastAsia="Arial" w:hAnsi="Arial" w:cs="Arial"/>
          <w:i/>
          <w:sz w:val="24"/>
          <w:szCs w:val="24"/>
        </w:rPr>
      </w:pPr>
      <w:r>
        <w:rPr>
          <w:rFonts w:ascii="Arial" w:eastAsia="Arial" w:hAnsi="Arial" w:cs="Arial"/>
          <w:b/>
          <w:i/>
          <w:sz w:val="24"/>
          <w:szCs w:val="24"/>
        </w:rPr>
        <w:t>“ARTÍCULO 65.- INICIATIVA.</w:t>
      </w:r>
      <w:r>
        <w:rPr>
          <w:rFonts w:ascii="Arial" w:eastAsia="Arial" w:hAnsi="Arial" w:cs="Arial"/>
          <w:i/>
          <w:sz w:val="24"/>
          <w:szCs w:val="24"/>
        </w:rPr>
        <w:t xml:space="preserve"> Los proyectos de acuerdo pueden ser presentados por los Concejales individualmente, a través de las Bancadas, de manera integrada con otros Concejales o Bancadas y por el Alcalde Mayor, por medio de sus Secretarios, Jefes de Departamento Administrativo o Representantes Legales de las Entidades Descentralizadas. (...)”</w:t>
      </w:r>
    </w:p>
    <w:p w:rsidR="0023288B" w:rsidRDefault="00A0095D">
      <w:pPr>
        <w:pBdr>
          <w:top w:val="none" w:sz="0" w:space="0" w:color="000000"/>
          <w:left w:val="none" w:sz="0" w:space="0" w:color="000000"/>
          <w:bottom w:val="none" w:sz="0" w:space="0" w:color="000000"/>
          <w:right w:val="none" w:sz="0" w:space="0" w:color="000000"/>
          <w:between w:val="none" w:sz="0" w:space="0" w:color="000000"/>
        </w:pBdr>
        <w:spacing w:after="0" w:line="276" w:lineRule="auto"/>
        <w:jc w:val="both"/>
        <w:rPr>
          <w:rFonts w:ascii="Arial" w:eastAsia="Arial" w:hAnsi="Arial" w:cs="Arial"/>
          <w:sz w:val="24"/>
          <w:szCs w:val="24"/>
        </w:rPr>
      </w:pPr>
      <w:r>
        <w:rPr>
          <w:rFonts w:ascii="Arial" w:eastAsia="Arial" w:hAnsi="Arial" w:cs="Arial"/>
          <w:sz w:val="24"/>
          <w:szCs w:val="24"/>
        </w:rPr>
        <w:lastRenderedPageBreak/>
        <w:t>Finalmente, corresponde a la Comisión de Gobierno en atención a lo establecido:</w:t>
      </w:r>
    </w:p>
    <w:p w:rsidR="0023288B" w:rsidRDefault="0023288B">
      <w:pPr>
        <w:pBdr>
          <w:top w:val="none" w:sz="0" w:space="0" w:color="000000"/>
          <w:left w:val="none" w:sz="0" w:space="0" w:color="000000"/>
          <w:bottom w:val="none" w:sz="0" w:space="0" w:color="000000"/>
          <w:right w:val="none" w:sz="0" w:space="0" w:color="000000"/>
          <w:between w:val="none" w:sz="0" w:space="0" w:color="000000"/>
        </w:pBdr>
        <w:spacing w:after="0" w:line="276" w:lineRule="auto"/>
        <w:jc w:val="both"/>
        <w:rPr>
          <w:rFonts w:ascii="Arial" w:eastAsia="Arial" w:hAnsi="Arial" w:cs="Arial"/>
          <w:sz w:val="24"/>
          <w:szCs w:val="24"/>
        </w:rPr>
      </w:pPr>
    </w:p>
    <w:p w:rsidR="0023288B" w:rsidRDefault="00A0095D">
      <w:pPr>
        <w:pBdr>
          <w:top w:val="none" w:sz="0" w:space="0" w:color="000000"/>
          <w:left w:val="none" w:sz="0" w:space="0" w:color="000000"/>
          <w:bottom w:val="none" w:sz="0" w:space="0" w:color="000000"/>
          <w:right w:val="none" w:sz="0" w:space="0" w:color="000000"/>
          <w:between w:val="none" w:sz="0" w:space="0" w:color="000000"/>
        </w:pBdr>
        <w:spacing w:after="0" w:line="276" w:lineRule="auto"/>
        <w:ind w:left="720"/>
        <w:jc w:val="both"/>
        <w:rPr>
          <w:rFonts w:ascii="Arial" w:eastAsia="Arial" w:hAnsi="Arial" w:cs="Arial"/>
          <w:i/>
          <w:sz w:val="24"/>
          <w:szCs w:val="24"/>
        </w:rPr>
      </w:pPr>
      <w:r>
        <w:rPr>
          <w:rFonts w:ascii="Arial" w:eastAsia="Arial" w:hAnsi="Arial" w:cs="Arial"/>
          <w:i/>
          <w:sz w:val="24"/>
          <w:szCs w:val="24"/>
        </w:rPr>
        <w:t>“</w:t>
      </w:r>
      <w:r>
        <w:rPr>
          <w:rFonts w:ascii="Arial" w:eastAsia="Arial" w:hAnsi="Arial" w:cs="Arial"/>
          <w:b/>
          <w:i/>
          <w:sz w:val="24"/>
          <w:szCs w:val="24"/>
        </w:rPr>
        <w:t>ARTÍCULO 34. COMISIÓN SEGUNDA PERMANENTE DE GOBIERNO.</w:t>
      </w:r>
      <w:r>
        <w:rPr>
          <w:rFonts w:ascii="Arial" w:eastAsia="Arial" w:hAnsi="Arial" w:cs="Arial"/>
          <w:i/>
          <w:sz w:val="24"/>
          <w:szCs w:val="24"/>
        </w:rPr>
        <w:t xml:space="preserve"> Es la encargada de ejercer la función normativa y de control político, exclusivamente al cumplimiento de </w:t>
      </w:r>
      <w:r>
        <w:rPr>
          <w:rFonts w:ascii="Arial" w:eastAsia="Arial" w:hAnsi="Arial" w:cs="Arial"/>
          <w:b/>
          <w:i/>
          <w:sz w:val="24"/>
          <w:szCs w:val="24"/>
        </w:rPr>
        <w:t>los objetivos misionales de los Sectores Administrativos de:</w:t>
      </w:r>
      <w:r>
        <w:rPr>
          <w:rFonts w:ascii="Arial" w:eastAsia="Arial" w:hAnsi="Arial" w:cs="Arial"/>
          <w:i/>
          <w:sz w:val="24"/>
          <w:szCs w:val="24"/>
        </w:rPr>
        <w:t xml:space="preserve"> </w:t>
      </w:r>
      <w:r>
        <w:rPr>
          <w:rFonts w:ascii="Arial" w:eastAsia="Arial" w:hAnsi="Arial" w:cs="Arial"/>
          <w:b/>
          <w:i/>
          <w:sz w:val="24"/>
          <w:szCs w:val="24"/>
        </w:rPr>
        <w:t>Educación</w:t>
      </w:r>
      <w:r>
        <w:rPr>
          <w:rFonts w:ascii="Arial" w:eastAsia="Arial" w:hAnsi="Arial" w:cs="Arial"/>
          <w:i/>
          <w:sz w:val="24"/>
          <w:szCs w:val="24"/>
        </w:rPr>
        <w:t>; Integración Social; Gestión Pública; Gobierno; Seguridad, Convivencia y Justicia; Mujer</w:t>
      </w:r>
      <w:r>
        <w:rPr>
          <w:rFonts w:ascii="Arial" w:eastAsia="Arial" w:hAnsi="Arial" w:cs="Arial"/>
          <w:b/>
          <w:i/>
          <w:sz w:val="24"/>
          <w:szCs w:val="24"/>
        </w:rPr>
        <w:t>;</w:t>
      </w:r>
      <w:r>
        <w:rPr>
          <w:rFonts w:ascii="Arial" w:eastAsia="Arial" w:hAnsi="Arial" w:cs="Arial"/>
          <w:i/>
          <w:sz w:val="24"/>
          <w:szCs w:val="24"/>
        </w:rPr>
        <w:t xml:space="preserve"> Gestión Jurídica y de sus entidades adscritas y vinculadas, organización administrativa en la estructura de la Administración Pública Distrital (...)</w:t>
      </w:r>
    </w:p>
    <w:p w:rsidR="0023288B" w:rsidRDefault="0023288B">
      <w:pPr>
        <w:pBdr>
          <w:top w:val="none" w:sz="0" w:space="0" w:color="000000"/>
          <w:left w:val="none" w:sz="0" w:space="0" w:color="000000"/>
          <w:bottom w:val="none" w:sz="0" w:space="0" w:color="000000"/>
          <w:right w:val="none" w:sz="0" w:space="0" w:color="000000"/>
          <w:between w:val="none" w:sz="0" w:space="0" w:color="000000"/>
        </w:pBdr>
        <w:spacing w:after="0" w:line="276" w:lineRule="auto"/>
        <w:ind w:left="720"/>
        <w:jc w:val="both"/>
        <w:rPr>
          <w:rFonts w:ascii="Arial" w:eastAsia="Arial" w:hAnsi="Arial" w:cs="Arial"/>
          <w:i/>
          <w:sz w:val="24"/>
          <w:szCs w:val="24"/>
        </w:rPr>
      </w:pPr>
    </w:p>
    <w:p w:rsidR="0023288B" w:rsidRDefault="0023288B">
      <w:pPr>
        <w:spacing w:line="276" w:lineRule="auto"/>
        <w:jc w:val="both"/>
        <w:rPr>
          <w:rFonts w:ascii="Arial" w:eastAsia="Arial" w:hAnsi="Arial" w:cs="Arial"/>
          <w:b/>
          <w:sz w:val="24"/>
          <w:szCs w:val="24"/>
        </w:rPr>
      </w:pPr>
    </w:p>
    <w:p w:rsidR="0023288B" w:rsidRDefault="00A0095D">
      <w:pPr>
        <w:spacing w:line="276" w:lineRule="auto"/>
        <w:jc w:val="both"/>
        <w:rPr>
          <w:rFonts w:ascii="Arial" w:eastAsia="Arial" w:hAnsi="Arial" w:cs="Arial"/>
          <w:b/>
          <w:sz w:val="24"/>
          <w:szCs w:val="24"/>
        </w:rPr>
      </w:pPr>
      <w:r>
        <w:rPr>
          <w:rFonts w:ascii="Arial" w:eastAsia="Arial" w:hAnsi="Arial" w:cs="Arial"/>
          <w:b/>
          <w:sz w:val="24"/>
          <w:szCs w:val="24"/>
        </w:rPr>
        <w:t>VI. IMPACTO FISCAL</w:t>
      </w:r>
    </w:p>
    <w:p w:rsidR="0023288B" w:rsidRDefault="00A0095D">
      <w:pPr>
        <w:spacing w:before="240" w:after="240" w:line="276" w:lineRule="auto"/>
        <w:jc w:val="both"/>
        <w:rPr>
          <w:rFonts w:ascii="Arial" w:eastAsia="Arial" w:hAnsi="Arial" w:cs="Arial"/>
          <w:sz w:val="24"/>
          <w:szCs w:val="24"/>
        </w:rPr>
      </w:pPr>
      <w:r>
        <w:rPr>
          <w:rFonts w:ascii="Arial" w:eastAsia="Arial" w:hAnsi="Arial" w:cs="Arial"/>
          <w:sz w:val="24"/>
          <w:szCs w:val="24"/>
        </w:rPr>
        <w:t>De conformidad con el artículo 7 de la Ley 819 de 2003, la presente iniciativa no genera un impacto fiscal que implique una modificación en el marco fiscal de mediano plazo, toda vez, que no se incrementará el presupuesto del Distrito, ni ocasionará la creación de una nueva fuente de financiación. Las medidas a adoptar deberán ser financiadas con el presupuesto de las entidades pertinentes.</w:t>
      </w:r>
    </w:p>
    <w:p w:rsidR="0023288B" w:rsidRDefault="00A0095D">
      <w:pPr>
        <w:spacing w:before="240" w:after="240" w:line="276" w:lineRule="auto"/>
        <w:jc w:val="both"/>
        <w:rPr>
          <w:rFonts w:ascii="Arial" w:eastAsia="Arial" w:hAnsi="Arial" w:cs="Arial"/>
          <w:sz w:val="24"/>
          <w:szCs w:val="24"/>
        </w:rPr>
      </w:pPr>
      <w:r>
        <w:rPr>
          <w:rFonts w:ascii="Arial" w:eastAsia="Arial" w:hAnsi="Arial" w:cs="Arial"/>
          <w:sz w:val="24"/>
          <w:szCs w:val="24"/>
        </w:rPr>
        <w:t>Es relevante mencionar, para el caso en concreto, que no obstante lo anterior, la Corte Constitucional en Sentencia C-911 de 2007, puntualizó que el impacto fiscal de las normas, no puede convertirse en obstáculo para que las corporaciones públicas ejerzan su función legislativa y normativa, afirmando:</w:t>
      </w:r>
    </w:p>
    <w:p w:rsidR="0023288B" w:rsidRDefault="00A0095D">
      <w:pPr>
        <w:spacing w:before="240" w:after="240" w:line="276" w:lineRule="auto"/>
        <w:ind w:left="700"/>
        <w:jc w:val="both"/>
        <w:rPr>
          <w:rFonts w:ascii="Arial" w:eastAsia="Arial" w:hAnsi="Arial" w:cs="Arial"/>
          <w:sz w:val="24"/>
          <w:szCs w:val="24"/>
        </w:rPr>
      </w:pPr>
      <w:r>
        <w:rPr>
          <w:rFonts w:ascii="Arial" w:eastAsia="Arial" w:hAnsi="Arial" w:cs="Arial"/>
          <w:sz w:val="24"/>
          <w:szCs w:val="24"/>
        </w:rPr>
        <w:t>“En la realidad, aceptar que las condiciones establecidas en el art. 7° de la Ley 819 de 2003 constituyen un requisito de trámite que le incumbe cumplir única y exclusivamente al Congreso reduce desproporcionadamente la capacidad de iniciativa legislativa que reside en el Congreso de la República, con lo cual se vulnera el principio de separación de las Ramas del Poder Público, en la medida en que se lesiona seriamente la autonomía del Legislativo”.</w:t>
      </w:r>
    </w:p>
    <w:p w:rsidR="0023288B" w:rsidRDefault="00A0095D">
      <w:pPr>
        <w:spacing w:before="240" w:after="240" w:line="276" w:lineRule="auto"/>
        <w:ind w:left="700"/>
        <w:jc w:val="both"/>
        <w:rPr>
          <w:rFonts w:ascii="Arial" w:eastAsia="Arial" w:hAnsi="Arial" w:cs="Arial"/>
          <w:sz w:val="24"/>
          <w:szCs w:val="24"/>
        </w:rPr>
      </w:pPr>
      <w:r>
        <w:rPr>
          <w:rFonts w:ascii="Arial" w:eastAsia="Arial" w:hAnsi="Arial" w:cs="Arial"/>
          <w:sz w:val="24"/>
          <w:szCs w:val="24"/>
        </w:rPr>
        <w:t xml:space="preserve">“(…) Precisamente, los obstáculos casi insuperables que se generarían para la actividad legislativa del Congreso de la República conducirían a concederle una forma de poder de veto al ministro de Hacienda sobre las iniciativas de ley en el Parlamento. Es decir, el mencionado artículo debe interpretarse en el sentido de que su fin es obtener que las leyes que se dicten tengan en </w:t>
      </w:r>
      <w:r>
        <w:rPr>
          <w:rFonts w:ascii="Arial" w:eastAsia="Arial" w:hAnsi="Arial" w:cs="Arial"/>
          <w:sz w:val="24"/>
          <w:szCs w:val="24"/>
        </w:rPr>
        <w:lastRenderedPageBreak/>
        <w:t>cuenta las realidades macroeconómicas, pero sin crear barreras insalvables en el ejercicio de la función legislativa ni crear un poder de veto legislativo en cabeza del ministro de Hacienda”.</w:t>
      </w:r>
    </w:p>
    <w:p w:rsidR="0023288B" w:rsidRDefault="0023288B">
      <w:pPr>
        <w:spacing w:after="0" w:line="276" w:lineRule="auto"/>
        <w:jc w:val="both"/>
        <w:rPr>
          <w:rFonts w:ascii="Arial" w:eastAsia="Arial" w:hAnsi="Arial" w:cs="Arial"/>
          <w:sz w:val="24"/>
          <w:szCs w:val="24"/>
        </w:rPr>
      </w:pPr>
    </w:p>
    <w:p w:rsidR="0023288B" w:rsidRDefault="00A0095D">
      <w:pPr>
        <w:spacing w:after="0" w:line="276" w:lineRule="auto"/>
        <w:jc w:val="both"/>
        <w:rPr>
          <w:rFonts w:ascii="Arial" w:eastAsia="Arial" w:hAnsi="Arial" w:cs="Arial"/>
          <w:b/>
          <w:sz w:val="24"/>
          <w:szCs w:val="24"/>
        </w:rPr>
      </w:pPr>
      <w:r>
        <w:rPr>
          <w:rFonts w:ascii="Arial" w:eastAsia="Arial" w:hAnsi="Arial" w:cs="Arial"/>
          <w:b/>
          <w:sz w:val="24"/>
          <w:szCs w:val="24"/>
        </w:rPr>
        <w:t>VII.</w:t>
      </w:r>
      <w:r>
        <w:rPr>
          <w:rFonts w:ascii="Arial" w:eastAsia="Arial" w:hAnsi="Arial" w:cs="Arial"/>
          <w:i/>
          <w:sz w:val="24"/>
          <w:szCs w:val="24"/>
        </w:rPr>
        <w:t xml:space="preserve"> </w:t>
      </w:r>
      <w:r>
        <w:rPr>
          <w:rFonts w:ascii="Arial" w:eastAsia="Arial" w:hAnsi="Arial" w:cs="Arial"/>
          <w:b/>
          <w:sz w:val="24"/>
          <w:szCs w:val="24"/>
        </w:rPr>
        <w:t>CONSIDERACIONES DE LOS PONENTES</w:t>
      </w:r>
    </w:p>
    <w:p w:rsidR="0023288B" w:rsidRDefault="0023288B">
      <w:pPr>
        <w:spacing w:after="0" w:line="276" w:lineRule="auto"/>
        <w:jc w:val="both"/>
        <w:rPr>
          <w:rFonts w:ascii="Arial" w:eastAsia="Arial" w:hAnsi="Arial" w:cs="Arial"/>
          <w:sz w:val="24"/>
          <w:szCs w:val="24"/>
        </w:rPr>
      </w:pPr>
    </w:p>
    <w:p w:rsidR="0023288B" w:rsidRDefault="00A0095D">
      <w:pPr>
        <w:spacing w:after="0" w:line="276" w:lineRule="auto"/>
        <w:jc w:val="both"/>
        <w:rPr>
          <w:rFonts w:ascii="Arial" w:eastAsia="Arial" w:hAnsi="Arial" w:cs="Arial"/>
          <w:sz w:val="24"/>
          <w:szCs w:val="24"/>
        </w:rPr>
      </w:pPr>
      <w:r>
        <w:rPr>
          <w:rFonts w:ascii="Arial" w:eastAsia="Arial" w:hAnsi="Arial" w:cs="Arial"/>
          <w:sz w:val="24"/>
          <w:szCs w:val="24"/>
        </w:rPr>
        <w:t xml:space="preserve">Como ponente de esta importante iniciativa considero que el fomento de la lectura en las instituciones educativas desde edades tempranas y a lo largo de la vida es una excelente herramienta para materializar el derecho a la lectura de los niños, niñas, adolescentes y jóvenes, siendo este un componente esencial de los derechos educativos y culturales de la ciudadanía. Todo programa que promueva la lectura desde edades tempranas es fundamental para poder cultivar el hábito de la lectura en las y los estudiantes, el cual no es frecuente. </w:t>
      </w:r>
    </w:p>
    <w:p w:rsidR="0023288B" w:rsidRDefault="0023288B">
      <w:pPr>
        <w:spacing w:after="0" w:line="276" w:lineRule="auto"/>
        <w:jc w:val="both"/>
        <w:rPr>
          <w:rFonts w:ascii="Arial" w:eastAsia="Arial" w:hAnsi="Arial" w:cs="Arial"/>
          <w:sz w:val="24"/>
          <w:szCs w:val="24"/>
        </w:rPr>
      </w:pPr>
    </w:p>
    <w:p w:rsidR="0023288B" w:rsidRDefault="00A0095D">
      <w:pPr>
        <w:spacing w:after="0" w:line="276" w:lineRule="auto"/>
        <w:jc w:val="both"/>
        <w:rPr>
          <w:rFonts w:ascii="Arial" w:eastAsia="Arial" w:hAnsi="Arial" w:cs="Arial"/>
          <w:sz w:val="24"/>
          <w:szCs w:val="24"/>
        </w:rPr>
      </w:pPr>
      <w:r>
        <w:rPr>
          <w:rFonts w:ascii="Arial" w:eastAsia="Arial" w:hAnsi="Arial" w:cs="Arial"/>
          <w:sz w:val="24"/>
          <w:szCs w:val="24"/>
        </w:rPr>
        <w:t xml:space="preserve">Según los datos más recientes publicados de la Encuesta de Calidad de Vida (2022) del DANE, de los 10 millones de niños, niñas y adolescentes (NNA) de 5 a 17 años, que registra el país, 7.3 millones (equivalente al 73,3%) manifestaron no leer libros fuera de la jornada escolar y 2.7 millones indicaron que sí lo hacía, correspondiente al 26,7% de la población. Si bien el porcentaje de NNA que leen fuera del colegio aumenta a medida que se incrementa la edad, la variación no es mayor. Mientras que el 18,9% de los niños y niñas de 5 años indicaron leer, en la población de 17 años dicho porcentaje fue muy superior e igual al 30,9%. El comportamiento del hábito de lectura entre los 5 y los 17 años de muestra en la siguiente gráfica: </w:t>
      </w:r>
    </w:p>
    <w:p w:rsidR="0023288B" w:rsidRDefault="0023288B">
      <w:pPr>
        <w:spacing w:after="0" w:line="276" w:lineRule="auto"/>
        <w:jc w:val="both"/>
        <w:rPr>
          <w:rFonts w:ascii="Arial" w:eastAsia="Arial" w:hAnsi="Arial" w:cs="Arial"/>
          <w:sz w:val="24"/>
          <w:szCs w:val="24"/>
        </w:rPr>
      </w:pPr>
    </w:p>
    <w:p w:rsidR="0023288B" w:rsidRDefault="0023288B">
      <w:pPr>
        <w:spacing w:after="0" w:line="276" w:lineRule="auto"/>
        <w:jc w:val="both"/>
        <w:rPr>
          <w:rFonts w:ascii="Arial" w:eastAsia="Arial" w:hAnsi="Arial" w:cs="Arial"/>
          <w:sz w:val="24"/>
          <w:szCs w:val="24"/>
        </w:rPr>
      </w:pPr>
    </w:p>
    <w:p w:rsidR="0023288B" w:rsidRDefault="0023288B">
      <w:pPr>
        <w:spacing w:after="0" w:line="276" w:lineRule="auto"/>
        <w:jc w:val="both"/>
        <w:rPr>
          <w:rFonts w:ascii="Arial" w:eastAsia="Arial" w:hAnsi="Arial" w:cs="Arial"/>
          <w:sz w:val="24"/>
          <w:szCs w:val="24"/>
        </w:rPr>
      </w:pPr>
    </w:p>
    <w:p w:rsidR="0023288B" w:rsidRDefault="0023288B">
      <w:pPr>
        <w:spacing w:after="0" w:line="276" w:lineRule="auto"/>
        <w:jc w:val="both"/>
        <w:rPr>
          <w:rFonts w:ascii="Arial" w:eastAsia="Arial" w:hAnsi="Arial" w:cs="Arial"/>
          <w:sz w:val="24"/>
          <w:szCs w:val="24"/>
        </w:rPr>
      </w:pPr>
    </w:p>
    <w:p w:rsidR="0023288B" w:rsidRDefault="0023288B">
      <w:pPr>
        <w:spacing w:after="0" w:line="276" w:lineRule="auto"/>
        <w:jc w:val="both"/>
        <w:rPr>
          <w:rFonts w:ascii="Arial" w:eastAsia="Arial" w:hAnsi="Arial" w:cs="Arial"/>
          <w:sz w:val="24"/>
          <w:szCs w:val="24"/>
        </w:rPr>
      </w:pPr>
    </w:p>
    <w:p w:rsidR="0023288B" w:rsidRDefault="0023288B">
      <w:pPr>
        <w:spacing w:after="0" w:line="276" w:lineRule="auto"/>
        <w:jc w:val="both"/>
        <w:rPr>
          <w:rFonts w:ascii="Arial" w:eastAsia="Arial" w:hAnsi="Arial" w:cs="Arial"/>
          <w:sz w:val="24"/>
          <w:szCs w:val="24"/>
        </w:rPr>
      </w:pPr>
    </w:p>
    <w:p w:rsidR="0023288B" w:rsidRDefault="0023288B">
      <w:pPr>
        <w:spacing w:after="0" w:line="276" w:lineRule="auto"/>
        <w:jc w:val="both"/>
        <w:rPr>
          <w:rFonts w:ascii="Arial" w:eastAsia="Arial" w:hAnsi="Arial" w:cs="Arial"/>
          <w:sz w:val="24"/>
          <w:szCs w:val="24"/>
        </w:rPr>
      </w:pPr>
    </w:p>
    <w:p w:rsidR="0023288B" w:rsidRDefault="00A0095D">
      <w:pPr>
        <w:spacing w:after="0" w:line="276" w:lineRule="auto"/>
        <w:jc w:val="center"/>
        <w:rPr>
          <w:rFonts w:ascii="Arial" w:eastAsia="Arial" w:hAnsi="Arial" w:cs="Arial"/>
          <w:b/>
          <w:sz w:val="24"/>
          <w:szCs w:val="24"/>
        </w:rPr>
      </w:pPr>
      <w:r>
        <w:rPr>
          <w:rFonts w:ascii="Arial" w:eastAsia="Arial" w:hAnsi="Arial" w:cs="Arial"/>
          <w:b/>
          <w:sz w:val="24"/>
          <w:szCs w:val="24"/>
        </w:rPr>
        <w:t>Gráfica 1. Número y porcentaje de NNA según si lee o no libros fuera de la jornada escolar según sexo y edad: Nacional 2022</w:t>
      </w:r>
    </w:p>
    <w:p w:rsidR="0023288B" w:rsidRDefault="0023288B">
      <w:pPr>
        <w:spacing w:after="0" w:line="276" w:lineRule="auto"/>
        <w:jc w:val="center"/>
        <w:rPr>
          <w:rFonts w:ascii="Arial" w:eastAsia="Arial" w:hAnsi="Arial" w:cs="Arial"/>
          <w:b/>
          <w:sz w:val="20"/>
          <w:szCs w:val="20"/>
        </w:rPr>
      </w:pPr>
    </w:p>
    <w:p w:rsidR="0023288B" w:rsidRDefault="00A0095D">
      <w:pPr>
        <w:spacing w:after="0" w:line="276" w:lineRule="auto"/>
        <w:jc w:val="center"/>
        <w:rPr>
          <w:rFonts w:ascii="Arial" w:eastAsia="Arial" w:hAnsi="Arial" w:cs="Arial"/>
          <w:sz w:val="24"/>
          <w:szCs w:val="24"/>
        </w:rPr>
      </w:pPr>
      <w:r>
        <w:rPr>
          <w:rFonts w:ascii="Arial" w:eastAsia="Arial" w:hAnsi="Arial" w:cs="Arial"/>
          <w:noProof/>
          <w:sz w:val="24"/>
          <w:szCs w:val="24"/>
          <w:lang w:val="es-419"/>
        </w:rPr>
        <w:lastRenderedPageBreak/>
        <w:drawing>
          <wp:inline distT="114300" distB="114300" distL="114300" distR="114300">
            <wp:extent cx="3535829" cy="1996796"/>
            <wp:effectExtent l="0" t="0" r="0" b="0"/>
            <wp:docPr id="1754932529"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10"/>
                    <a:srcRect b="5447"/>
                    <a:stretch>
                      <a:fillRect/>
                    </a:stretch>
                  </pic:blipFill>
                  <pic:spPr>
                    <a:xfrm>
                      <a:off x="0" y="0"/>
                      <a:ext cx="3535829" cy="1996796"/>
                    </a:xfrm>
                    <a:prstGeom prst="rect">
                      <a:avLst/>
                    </a:prstGeom>
                    <a:ln/>
                  </pic:spPr>
                </pic:pic>
              </a:graphicData>
            </a:graphic>
          </wp:inline>
        </w:drawing>
      </w:r>
    </w:p>
    <w:p w:rsidR="0023288B" w:rsidRDefault="00A0095D">
      <w:pPr>
        <w:spacing w:after="0" w:line="276" w:lineRule="auto"/>
        <w:jc w:val="center"/>
        <w:rPr>
          <w:rFonts w:ascii="Arial" w:eastAsia="Arial" w:hAnsi="Arial" w:cs="Arial"/>
          <w:sz w:val="24"/>
          <w:szCs w:val="24"/>
        </w:rPr>
      </w:pPr>
      <w:r>
        <w:rPr>
          <w:rFonts w:ascii="Arial" w:eastAsia="Arial" w:hAnsi="Arial" w:cs="Arial"/>
          <w:sz w:val="24"/>
          <w:szCs w:val="24"/>
        </w:rPr>
        <w:t xml:space="preserve">Fuente: Informe análisis estadístico LEE No. 93 del 23 de abril de 2024. Disponible en: </w:t>
      </w:r>
      <w:hyperlink r:id="rId11">
        <w:r>
          <w:rPr>
            <w:rFonts w:ascii="Arial" w:eastAsia="Arial" w:hAnsi="Arial" w:cs="Arial"/>
            <w:color w:val="1155CC"/>
            <w:sz w:val="24"/>
            <w:szCs w:val="24"/>
            <w:u w:val="single"/>
          </w:rPr>
          <w:t>https://www.javeriana.edu.co/recursosdb/5581483/11594517/INF-93.Habitos-de-lectura-Colombia-Dia-Libro-LEE.pdf</w:t>
        </w:r>
      </w:hyperlink>
      <w:r>
        <w:rPr>
          <w:rFonts w:ascii="Arial" w:eastAsia="Arial" w:hAnsi="Arial" w:cs="Arial"/>
          <w:sz w:val="24"/>
          <w:szCs w:val="24"/>
        </w:rPr>
        <w:t xml:space="preserve"> </w:t>
      </w:r>
    </w:p>
    <w:p w:rsidR="0023288B" w:rsidRDefault="0023288B">
      <w:pPr>
        <w:spacing w:after="0" w:line="276" w:lineRule="auto"/>
        <w:jc w:val="both"/>
        <w:rPr>
          <w:rFonts w:ascii="Arial" w:eastAsia="Arial" w:hAnsi="Arial" w:cs="Arial"/>
          <w:sz w:val="24"/>
          <w:szCs w:val="24"/>
        </w:rPr>
      </w:pPr>
    </w:p>
    <w:p w:rsidR="0023288B" w:rsidRDefault="00A0095D">
      <w:pPr>
        <w:spacing w:after="0" w:line="276" w:lineRule="auto"/>
        <w:jc w:val="both"/>
        <w:rPr>
          <w:rFonts w:ascii="Arial" w:eastAsia="Arial" w:hAnsi="Arial" w:cs="Arial"/>
          <w:sz w:val="24"/>
          <w:szCs w:val="24"/>
        </w:rPr>
      </w:pPr>
      <w:r>
        <w:rPr>
          <w:rFonts w:ascii="Arial" w:eastAsia="Arial" w:hAnsi="Arial" w:cs="Arial"/>
          <w:sz w:val="24"/>
          <w:szCs w:val="24"/>
        </w:rPr>
        <w:t xml:space="preserve">Adicional a esto, es importante ver cómo se encuentra el hábito de lectura en Bogotá, en comparación con los departamentos del país. En la ciudad el 32% de los niños, niñas y adolescentes lee por fuera de la jornada escolar, un porcentaje mayor si se compara el promedio nacional el cual se encuentra en un 26,7%, sin embargo, en el ranking comparándola con los 32 departamento del país, Bogotá ocupa el puesto N°9, tal como se observa en la siguiente gráfica: </w:t>
      </w:r>
    </w:p>
    <w:p w:rsidR="0023288B" w:rsidRDefault="0023288B">
      <w:pPr>
        <w:spacing w:after="0" w:line="276" w:lineRule="auto"/>
        <w:jc w:val="both"/>
        <w:rPr>
          <w:rFonts w:ascii="Arial" w:eastAsia="Arial" w:hAnsi="Arial" w:cs="Arial"/>
          <w:sz w:val="24"/>
          <w:szCs w:val="24"/>
        </w:rPr>
      </w:pPr>
    </w:p>
    <w:p w:rsidR="0023288B" w:rsidRDefault="0023288B">
      <w:pPr>
        <w:spacing w:after="0" w:line="276" w:lineRule="auto"/>
        <w:jc w:val="both"/>
        <w:rPr>
          <w:rFonts w:ascii="Arial" w:eastAsia="Arial" w:hAnsi="Arial" w:cs="Arial"/>
          <w:sz w:val="24"/>
          <w:szCs w:val="24"/>
        </w:rPr>
      </w:pPr>
    </w:p>
    <w:p w:rsidR="0023288B" w:rsidRDefault="0023288B">
      <w:pPr>
        <w:spacing w:after="0" w:line="276" w:lineRule="auto"/>
        <w:jc w:val="both"/>
        <w:rPr>
          <w:rFonts w:ascii="Arial" w:eastAsia="Arial" w:hAnsi="Arial" w:cs="Arial"/>
          <w:sz w:val="24"/>
          <w:szCs w:val="24"/>
        </w:rPr>
      </w:pPr>
    </w:p>
    <w:p w:rsidR="0023288B" w:rsidRDefault="0023288B">
      <w:pPr>
        <w:spacing w:after="0" w:line="276" w:lineRule="auto"/>
        <w:jc w:val="both"/>
        <w:rPr>
          <w:rFonts w:ascii="Arial" w:eastAsia="Arial" w:hAnsi="Arial" w:cs="Arial"/>
          <w:sz w:val="24"/>
          <w:szCs w:val="24"/>
        </w:rPr>
      </w:pPr>
    </w:p>
    <w:p w:rsidR="0023288B" w:rsidRDefault="0023288B">
      <w:pPr>
        <w:spacing w:after="0" w:line="276" w:lineRule="auto"/>
        <w:jc w:val="both"/>
        <w:rPr>
          <w:rFonts w:ascii="Arial" w:eastAsia="Arial" w:hAnsi="Arial" w:cs="Arial"/>
          <w:sz w:val="24"/>
          <w:szCs w:val="24"/>
        </w:rPr>
      </w:pPr>
    </w:p>
    <w:p w:rsidR="0023288B" w:rsidRDefault="0023288B">
      <w:pPr>
        <w:spacing w:after="0" w:line="276" w:lineRule="auto"/>
        <w:jc w:val="both"/>
        <w:rPr>
          <w:rFonts w:ascii="Arial" w:eastAsia="Arial" w:hAnsi="Arial" w:cs="Arial"/>
          <w:sz w:val="24"/>
          <w:szCs w:val="24"/>
        </w:rPr>
      </w:pPr>
    </w:p>
    <w:p w:rsidR="0023288B" w:rsidRDefault="0023288B">
      <w:pPr>
        <w:spacing w:after="0" w:line="276" w:lineRule="auto"/>
        <w:jc w:val="both"/>
        <w:rPr>
          <w:rFonts w:ascii="Arial" w:eastAsia="Arial" w:hAnsi="Arial" w:cs="Arial"/>
          <w:sz w:val="24"/>
          <w:szCs w:val="24"/>
        </w:rPr>
      </w:pPr>
    </w:p>
    <w:p w:rsidR="0023288B" w:rsidRDefault="0023288B">
      <w:pPr>
        <w:spacing w:after="0" w:line="276" w:lineRule="auto"/>
        <w:jc w:val="both"/>
        <w:rPr>
          <w:rFonts w:ascii="Arial" w:eastAsia="Arial" w:hAnsi="Arial" w:cs="Arial"/>
          <w:sz w:val="24"/>
          <w:szCs w:val="24"/>
        </w:rPr>
      </w:pPr>
    </w:p>
    <w:p w:rsidR="0023288B" w:rsidRDefault="0023288B">
      <w:pPr>
        <w:spacing w:after="0" w:line="276" w:lineRule="auto"/>
        <w:jc w:val="both"/>
        <w:rPr>
          <w:rFonts w:ascii="Arial" w:eastAsia="Arial" w:hAnsi="Arial" w:cs="Arial"/>
          <w:sz w:val="24"/>
          <w:szCs w:val="24"/>
        </w:rPr>
      </w:pPr>
    </w:p>
    <w:p w:rsidR="0023288B" w:rsidRDefault="0023288B">
      <w:pPr>
        <w:spacing w:after="0" w:line="276" w:lineRule="auto"/>
        <w:jc w:val="both"/>
        <w:rPr>
          <w:rFonts w:ascii="Arial" w:eastAsia="Arial" w:hAnsi="Arial" w:cs="Arial"/>
          <w:sz w:val="24"/>
          <w:szCs w:val="24"/>
        </w:rPr>
      </w:pPr>
    </w:p>
    <w:p w:rsidR="0023288B" w:rsidRDefault="0023288B">
      <w:pPr>
        <w:spacing w:after="0" w:line="276" w:lineRule="auto"/>
        <w:jc w:val="both"/>
        <w:rPr>
          <w:rFonts w:ascii="Arial" w:eastAsia="Arial" w:hAnsi="Arial" w:cs="Arial"/>
          <w:sz w:val="24"/>
          <w:szCs w:val="24"/>
        </w:rPr>
      </w:pPr>
    </w:p>
    <w:p w:rsidR="0023288B" w:rsidRDefault="0023288B">
      <w:pPr>
        <w:spacing w:after="0" w:line="276" w:lineRule="auto"/>
        <w:jc w:val="both"/>
        <w:rPr>
          <w:rFonts w:ascii="Arial" w:eastAsia="Arial" w:hAnsi="Arial" w:cs="Arial"/>
          <w:sz w:val="24"/>
          <w:szCs w:val="24"/>
        </w:rPr>
      </w:pPr>
    </w:p>
    <w:p w:rsidR="0023288B" w:rsidRDefault="00A0095D">
      <w:pPr>
        <w:spacing w:after="0" w:line="276" w:lineRule="auto"/>
        <w:jc w:val="center"/>
        <w:rPr>
          <w:rFonts w:ascii="Arial" w:eastAsia="Arial" w:hAnsi="Arial" w:cs="Arial"/>
          <w:sz w:val="24"/>
          <w:szCs w:val="24"/>
        </w:rPr>
      </w:pPr>
      <w:r>
        <w:rPr>
          <w:rFonts w:ascii="Arial" w:eastAsia="Arial" w:hAnsi="Arial" w:cs="Arial"/>
          <w:b/>
          <w:sz w:val="24"/>
          <w:szCs w:val="24"/>
        </w:rPr>
        <w:t>Gráfica 2. Porcentaje de NNAJ según si lee o no libros fuera de la jornada escolar según departamento: Nacional 2022</w:t>
      </w:r>
    </w:p>
    <w:p w:rsidR="0023288B" w:rsidRDefault="00A0095D">
      <w:pPr>
        <w:spacing w:after="0" w:line="276" w:lineRule="auto"/>
        <w:jc w:val="center"/>
        <w:rPr>
          <w:rFonts w:ascii="Arial" w:eastAsia="Arial" w:hAnsi="Arial" w:cs="Arial"/>
          <w:sz w:val="24"/>
          <w:szCs w:val="24"/>
        </w:rPr>
      </w:pPr>
      <w:r>
        <w:rPr>
          <w:rFonts w:ascii="Arial" w:eastAsia="Arial" w:hAnsi="Arial" w:cs="Arial"/>
          <w:noProof/>
          <w:sz w:val="24"/>
          <w:szCs w:val="24"/>
          <w:lang w:val="es-419"/>
        </w:rPr>
        <w:lastRenderedPageBreak/>
        <w:drawing>
          <wp:inline distT="114300" distB="114300" distL="114300" distR="114300">
            <wp:extent cx="4795838" cy="2483943"/>
            <wp:effectExtent l="0" t="0" r="0" b="0"/>
            <wp:docPr id="1754932528"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2"/>
                    <a:srcRect/>
                    <a:stretch>
                      <a:fillRect/>
                    </a:stretch>
                  </pic:blipFill>
                  <pic:spPr>
                    <a:xfrm>
                      <a:off x="0" y="0"/>
                      <a:ext cx="4795838" cy="2483943"/>
                    </a:xfrm>
                    <a:prstGeom prst="rect">
                      <a:avLst/>
                    </a:prstGeom>
                    <a:ln/>
                  </pic:spPr>
                </pic:pic>
              </a:graphicData>
            </a:graphic>
          </wp:inline>
        </w:drawing>
      </w:r>
      <w:r>
        <w:rPr>
          <w:rFonts w:ascii="Arial" w:eastAsia="Arial" w:hAnsi="Arial" w:cs="Arial"/>
          <w:sz w:val="24"/>
          <w:szCs w:val="24"/>
        </w:rPr>
        <w:t xml:space="preserve"> </w:t>
      </w:r>
    </w:p>
    <w:p w:rsidR="0023288B" w:rsidRDefault="00A0095D">
      <w:pPr>
        <w:spacing w:after="0" w:line="276" w:lineRule="auto"/>
        <w:jc w:val="center"/>
        <w:rPr>
          <w:rFonts w:ascii="Arial" w:eastAsia="Arial" w:hAnsi="Arial" w:cs="Arial"/>
          <w:sz w:val="24"/>
          <w:szCs w:val="24"/>
        </w:rPr>
      </w:pPr>
      <w:r>
        <w:rPr>
          <w:rFonts w:ascii="Arial" w:eastAsia="Arial" w:hAnsi="Arial" w:cs="Arial"/>
          <w:sz w:val="24"/>
          <w:szCs w:val="24"/>
        </w:rPr>
        <w:t xml:space="preserve">Fuente: Informe análisis estadístico LEE No. 93 del 23 de abril de 2024. Disponible en: </w:t>
      </w:r>
      <w:hyperlink r:id="rId13">
        <w:r>
          <w:rPr>
            <w:rFonts w:ascii="Arial" w:eastAsia="Arial" w:hAnsi="Arial" w:cs="Arial"/>
            <w:color w:val="1155CC"/>
            <w:sz w:val="24"/>
            <w:szCs w:val="24"/>
            <w:u w:val="single"/>
          </w:rPr>
          <w:t>https://www.javeriana.edu.co/recursosdb/5581483/11594517/INF-93.Habitos-de-lectura-Colombia-Dia-Libro-LEE.pdf</w:t>
        </w:r>
      </w:hyperlink>
      <w:r>
        <w:rPr>
          <w:rFonts w:ascii="Arial" w:eastAsia="Arial" w:hAnsi="Arial" w:cs="Arial"/>
          <w:sz w:val="24"/>
          <w:szCs w:val="24"/>
        </w:rPr>
        <w:t xml:space="preserve"> </w:t>
      </w:r>
    </w:p>
    <w:p w:rsidR="0023288B" w:rsidRDefault="0023288B">
      <w:pPr>
        <w:spacing w:after="0" w:line="276" w:lineRule="auto"/>
        <w:jc w:val="both"/>
        <w:rPr>
          <w:rFonts w:ascii="Arial" w:eastAsia="Arial" w:hAnsi="Arial" w:cs="Arial"/>
          <w:sz w:val="24"/>
          <w:szCs w:val="24"/>
        </w:rPr>
      </w:pPr>
    </w:p>
    <w:p w:rsidR="0023288B" w:rsidRDefault="00A0095D">
      <w:pPr>
        <w:spacing w:after="0" w:line="276" w:lineRule="auto"/>
        <w:jc w:val="both"/>
        <w:rPr>
          <w:rFonts w:ascii="Arial" w:eastAsia="Arial" w:hAnsi="Arial" w:cs="Arial"/>
          <w:sz w:val="24"/>
          <w:szCs w:val="24"/>
        </w:rPr>
      </w:pPr>
      <w:r>
        <w:rPr>
          <w:rFonts w:ascii="Arial" w:eastAsia="Arial" w:hAnsi="Arial" w:cs="Arial"/>
          <w:sz w:val="24"/>
          <w:szCs w:val="24"/>
        </w:rPr>
        <w:t xml:space="preserve">La importancia de fomentar espacios para cultivar el hábito de la lectura en las instituciones educativas de la ciudad, se sustenta de igual forma en la importancia y lo que reflejan los resultados de las Pruebas Saber 11 del 2024. Según el informe de análisis estadístico del Laboratorio de Economía de la Educación </w:t>
      </w:r>
      <w:r>
        <w:rPr>
          <w:rFonts w:ascii="Arial" w:eastAsia="Arial" w:hAnsi="Arial" w:cs="Arial"/>
          <w:i/>
          <w:sz w:val="24"/>
          <w:szCs w:val="24"/>
        </w:rPr>
        <w:t>“Pruebas Saber 11: cerrando brechas de sector, más no de género y de zona”</w:t>
      </w:r>
      <w:r>
        <w:rPr>
          <w:rFonts w:ascii="Arial" w:eastAsia="Arial" w:hAnsi="Arial" w:cs="Arial"/>
          <w:sz w:val="24"/>
          <w:szCs w:val="24"/>
        </w:rPr>
        <w:t>, el área de lectura es la que mejor desempeño muestra para ese periodo con un 53,4, contrastado con las áreas de ciencias sociales y competencias ciudadanas, las que reflejan un bajo desempeño (48,2). Esto evidencia progresos significativos en las habilidades de comprensión; no obstante, es necesario continuar intensificando los esfuerzos, ya que los niveles actuales aún están lejos de garantizar que todos los jóvenes alcancen al menos el nivel 3 de lectura</w:t>
      </w:r>
      <w:r>
        <w:rPr>
          <w:rFonts w:ascii="Arial" w:eastAsia="Arial" w:hAnsi="Arial" w:cs="Arial"/>
          <w:sz w:val="24"/>
          <w:szCs w:val="24"/>
          <w:vertAlign w:val="superscript"/>
        </w:rPr>
        <w:footnoteReference w:id="6"/>
      </w:r>
      <w:r>
        <w:rPr>
          <w:rFonts w:ascii="Arial" w:eastAsia="Arial" w:hAnsi="Arial" w:cs="Arial"/>
          <w:sz w:val="24"/>
          <w:szCs w:val="24"/>
        </w:rPr>
        <w:t xml:space="preserve">. Esta situación es importante, ya que es fundamental otorgar mayor énfasis y prioridad al desarrollo de la lectura crítica desde una edad temprana, acciones que se promoverán con el presente proyecto de acuerdo. </w:t>
      </w:r>
    </w:p>
    <w:p w:rsidR="0023288B" w:rsidRDefault="00A0095D">
      <w:pPr>
        <w:spacing w:after="0" w:line="276" w:lineRule="auto"/>
        <w:jc w:val="both"/>
        <w:rPr>
          <w:rFonts w:ascii="Arial" w:eastAsia="Arial" w:hAnsi="Arial" w:cs="Arial"/>
          <w:sz w:val="24"/>
          <w:szCs w:val="24"/>
        </w:rPr>
      </w:pPr>
      <w:r>
        <w:rPr>
          <w:rFonts w:ascii="Arial" w:eastAsia="Arial" w:hAnsi="Arial" w:cs="Arial"/>
          <w:sz w:val="24"/>
          <w:szCs w:val="24"/>
        </w:rPr>
        <w:t xml:space="preserve">De igual forma, los resultados de las pruebas Saber 11 reflejan la brecha que existe entre el sector oficial y no oficial, si bien en términos de lectura esta brecha no es de la más alta, para el año 2024 se calculó en 4,7 puntos, lo que refleja la necesidad de promover más acciones en las instituciones educativas oficiales de Bogotá. </w:t>
      </w:r>
    </w:p>
    <w:p w:rsidR="0023288B" w:rsidRDefault="0023288B">
      <w:pPr>
        <w:spacing w:after="0" w:line="276" w:lineRule="auto"/>
        <w:jc w:val="both"/>
        <w:rPr>
          <w:rFonts w:ascii="Arial" w:eastAsia="Arial" w:hAnsi="Arial" w:cs="Arial"/>
          <w:sz w:val="24"/>
          <w:szCs w:val="24"/>
        </w:rPr>
      </w:pPr>
    </w:p>
    <w:p w:rsidR="0023288B" w:rsidRDefault="00A0095D">
      <w:pPr>
        <w:spacing w:after="0" w:line="276" w:lineRule="auto"/>
        <w:jc w:val="both"/>
        <w:rPr>
          <w:rFonts w:ascii="Arial" w:eastAsia="Arial" w:hAnsi="Arial" w:cs="Arial"/>
          <w:sz w:val="24"/>
          <w:szCs w:val="24"/>
        </w:rPr>
      </w:pPr>
      <w:r>
        <w:rPr>
          <w:rFonts w:ascii="Arial" w:eastAsia="Arial" w:hAnsi="Arial" w:cs="Arial"/>
          <w:sz w:val="24"/>
          <w:szCs w:val="24"/>
        </w:rPr>
        <w:t xml:space="preserve">En el diagnóstico para la formulación política pública de lectura, escritura y oralidad realizado en el 2022 también se encuentran fundamentos para dar viabilidad al presente proyecto de acuerdo, partiendo de la idea de que no es solamente las acciones que se adelanten para el fomento de la lectura, sino que se debe revisar qué elementos se tienen y qué infraestructura para promover esto dentro de la institución educativa. Este informe indica que tener materiales de lectura y dispositivos es un elemento clave para facilitar la apropiación de la cultura escrita. Como se evidenció en esta evaluación, la carencia o el desuso de recursos y de infraestructura puede afectar, en cierta medida, el desarrollo de habilidades lectoras. Por esta razón, fomentar el préstamo de libros en diversas bibliotecas escolares puede ayudar a compensar la falta de materiales en los hogares. </w:t>
      </w:r>
    </w:p>
    <w:p w:rsidR="0023288B" w:rsidRDefault="0023288B">
      <w:pPr>
        <w:spacing w:after="0" w:line="276" w:lineRule="auto"/>
        <w:jc w:val="both"/>
        <w:rPr>
          <w:rFonts w:ascii="Arial" w:eastAsia="Arial" w:hAnsi="Arial" w:cs="Arial"/>
          <w:sz w:val="24"/>
          <w:szCs w:val="24"/>
        </w:rPr>
      </w:pPr>
    </w:p>
    <w:p w:rsidR="0023288B" w:rsidRDefault="00A0095D">
      <w:pPr>
        <w:spacing w:after="0" w:line="276" w:lineRule="auto"/>
        <w:jc w:val="both"/>
        <w:rPr>
          <w:rFonts w:ascii="Arial" w:eastAsia="Arial" w:hAnsi="Arial" w:cs="Arial"/>
          <w:sz w:val="24"/>
          <w:szCs w:val="24"/>
        </w:rPr>
      </w:pPr>
      <w:r>
        <w:rPr>
          <w:rFonts w:ascii="Arial" w:eastAsia="Arial" w:hAnsi="Arial" w:cs="Arial"/>
          <w:sz w:val="24"/>
          <w:szCs w:val="24"/>
        </w:rPr>
        <w:t xml:space="preserve">Según el informe el informe </w:t>
      </w:r>
      <w:r>
        <w:rPr>
          <w:rFonts w:ascii="Arial" w:eastAsia="Arial" w:hAnsi="Arial" w:cs="Arial"/>
          <w:i/>
          <w:sz w:val="24"/>
          <w:szCs w:val="24"/>
        </w:rPr>
        <w:t>“</w:t>
      </w:r>
      <w:hyperlink r:id="rId14">
        <w:r>
          <w:rPr>
            <w:rFonts w:ascii="Arial" w:eastAsia="Arial" w:hAnsi="Arial" w:cs="Arial"/>
            <w:i/>
            <w:sz w:val="24"/>
            <w:szCs w:val="24"/>
          </w:rPr>
          <w:t>Hábitos de lectura, asistencia a bibliotecas y compra de libros en Colombia 2023</w:t>
        </w:r>
      </w:hyperlink>
      <w:r>
        <w:rPr>
          <w:rFonts w:ascii="Arial" w:eastAsia="Arial" w:hAnsi="Arial" w:cs="Arial"/>
          <w:sz w:val="24"/>
          <w:szCs w:val="24"/>
        </w:rPr>
        <w:t xml:space="preserve">” de la Cámara Colombiana del Libro, solo el 63% de los encuestados lee libros habitualmente a los menores de 6 años, lo que deja en evidencia que en el hogar el reto de consolidar el hábito de la lectura es mayor, por lo que la escuela es el espacio en donde más se puede cultivar este hábito. Sin embargo, este mismo informe muestra un resultado que si bien no es del todo negativo, si deja en alerta la necesidad de fomentar actividades en la escuela para fomentar el hábito de la lectura. El 77% de los encuestados afirma que los docentes, de los menores de 6 años con los que viven, si animan a los menores a leer, frente a 13% que considera que los docentes no cultivan este hábito y un 9% que no sabe o no responde esta pregunta. De igual forma frente a la pregunta si en el colegio realizan actividades en torno a la lectura, el 64% afirma que si se hacen, frente a un 20% que menciona que no se realizan y un 16% que no sabe o no responde a esta pregunta. Frente a la asistencia a bibliotecas de los menores de 6 años, el 65% de los encuestados afirman que van a estos espacios porque los llevan los profesores, frente a un 35% que indican que van por interés propio. </w:t>
      </w:r>
    </w:p>
    <w:p w:rsidR="0023288B" w:rsidRDefault="0023288B">
      <w:pPr>
        <w:spacing w:after="0" w:line="276" w:lineRule="auto"/>
        <w:jc w:val="both"/>
        <w:rPr>
          <w:rFonts w:ascii="Arial" w:eastAsia="Arial" w:hAnsi="Arial" w:cs="Arial"/>
          <w:sz w:val="24"/>
          <w:szCs w:val="24"/>
        </w:rPr>
      </w:pPr>
    </w:p>
    <w:p w:rsidR="0023288B" w:rsidRDefault="00A0095D">
      <w:pPr>
        <w:spacing w:after="0" w:line="276" w:lineRule="auto"/>
        <w:jc w:val="both"/>
        <w:rPr>
          <w:rFonts w:ascii="Arial" w:eastAsia="Arial" w:hAnsi="Arial" w:cs="Arial"/>
          <w:sz w:val="24"/>
          <w:szCs w:val="24"/>
        </w:rPr>
      </w:pPr>
      <w:r>
        <w:rPr>
          <w:rFonts w:ascii="Arial" w:eastAsia="Arial" w:hAnsi="Arial" w:cs="Arial"/>
          <w:sz w:val="24"/>
          <w:szCs w:val="24"/>
        </w:rPr>
        <w:t xml:space="preserve">Este análisis se realiza de igual forma para los menores entre 6 y 17 años. Para este rango de edades, los encuestados informan que el 37% de los niños, niñas y adolescentes solo leen textos obligatorios por estudio, esto se contrasta con el dato de que solo el 44% de los encuestados busca recomendaciones para que los menores entre 6 y 17 años lean. El 83% de los encuestados afirma que los docentes, de los menores de 6 a 17 años con los que viven, si animan a los menores a leer, frente a 14% que considera que los docentes no cultivan este hábito y un 2% que </w:t>
      </w:r>
      <w:r>
        <w:rPr>
          <w:rFonts w:ascii="Arial" w:eastAsia="Arial" w:hAnsi="Arial" w:cs="Arial"/>
          <w:sz w:val="24"/>
          <w:szCs w:val="24"/>
        </w:rPr>
        <w:lastRenderedPageBreak/>
        <w:t xml:space="preserve">no sabe o no responde esta pregunta. De igual forma frente a la pregunta si en el colegio realizan actividades en torno a la lectura, el 85% afirma que si se hacen, frente a un 8% que menciona que no se realizan y un 7% que no sabe o no responde a esta pregunta. Frente a la asistencia a bibliotecas de los menores entre 6 y 17 años, el 70% de los encuestados afirman que van a estos espacios porque los llevan los profesores, frente a un 30% que indican que van por interés propio. Lo que evidencia que el hábito de lectura por interés propio disminuye a medida que aumenta la edad de los estudiantes. </w:t>
      </w:r>
    </w:p>
    <w:p w:rsidR="0023288B" w:rsidRDefault="0023288B">
      <w:pPr>
        <w:spacing w:after="0" w:line="276" w:lineRule="auto"/>
        <w:jc w:val="both"/>
        <w:rPr>
          <w:rFonts w:ascii="Arial" w:eastAsia="Arial" w:hAnsi="Arial" w:cs="Arial"/>
          <w:sz w:val="24"/>
          <w:szCs w:val="24"/>
        </w:rPr>
      </w:pPr>
    </w:p>
    <w:p w:rsidR="0023288B" w:rsidRDefault="00A0095D">
      <w:pPr>
        <w:spacing w:after="0" w:line="276" w:lineRule="auto"/>
        <w:jc w:val="both"/>
        <w:rPr>
          <w:rFonts w:ascii="Arial" w:eastAsia="Arial" w:hAnsi="Arial" w:cs="Arial"/>
          <w:sz w:val="24"/>
          <w:szCs w:val="24"/>
        </w:rPr>
      </w:pPr>
      <w:r>
        <w:rPr>
          <w:rFonts w:ascii="Arial" w:eastAsia="Arial" w:hAnsi="Arial" w:cs="Arial"/>
          <w:sz w:val="24"/>
          <w:szCs w:val="24"/>
        </w:rPr>
        <w:t xml:space="preserve">Finalmente, otros datos que confirman el rol de las instituciones educativas y los docentes en el proceso de cultivar el hábito de la cultura, se relacionan con la disponibilidad de libros en los hogares, así como la persona más influyente en el proceso lector. Según la </w:t>
      </w:r>
      <w:r>
        <w:rPr>
          <w:rFonts w:ascii="Arial" w:eastAsia="Arial" w:hAnsi="Arial" w:cs="Arial"/>
          <w:i/>
          <w:sz w:val="24"/>
          <w:szCs w:val="24"/>
        </w:rPr>
        <w:t>Encuesta de Lectura, Escritura, Oralidad y Espacios de Lectura 2023</w:t>
      </w:r>
      <w:r>
        <w:rPr>
          <w:rFonts w:ascii="Arial" w:eastAsia="Arial" w:hAnsi="Arial" w:cs="Arial"/>
          <w:i/>
          <w:sz w:val="24"/>
          <w:szCs w:val="24"/>
          <w:vertAlign w:val="superscript"/>
        </w:rPr>
        <w:footnoteReference w:id="7"/>
      </w:r>
      <w:r>
        <w:rPr>
          <w:rFonts w:ascii="Arial" w:eastAsia="Arial" w:hAnsi="Arial" w:cs="Arial"/>
          <w:i/>
          <w:sz w:val="24"/>
          <w:szCs w:val="24"/>
        </w:rPr>
        <w:t xml:space="preserve">, </w:t>
      </w:r>
      <w:r>
        <w:rPr>
          <w:rFonts w:ascii="Arial" w:eastAsia="Arial" w:hAnsi="Arial" w:cs="Arial"/>
          <w:sz w:val="24"/>
          <w:szCs w:val="24"/>
        </w:rPr>
        <w:t xml:space="preserve">con relación con la disponibilidad de libros en los hogares, el 74% de la población indica tener al menos un libro en casa, mientras que el 26% señala no poseer ninguno; por lo que la infraestructura públicas de bibliotecas, como las bibliotecas escolares, es fundamental para acercar desde temprana edad a las y los estudiantes a la lectura, ya que es el espacio de mayor accesibilidad y cercanía para niños, niñas y jóvenes. </w:t>
      </w:r>
    </w:p>
    <w:p w:rsidR="0023288B" w:rsidRDefault="0023288B">
      <w:pPr>
        <w:spacing w:after="0" w:line="276" w:lineRule="auto"/>
        <w:jc w:val="both"/>
        <w:rPr>
          <w:rFonts w:ascii="Arial" w:eastAsia="Arial" w:hAnsi="Arial" w:cs="Arial"/>
          <w:sz w:val="24"/>
          <w:szCs w:val="24"/>
        </w:rPr>
      </w:pPr>
    </w:p>
    <w:p w:rsidR="0023288B" w:rsidRDefault="00A0095D">
      <w:pPr>
        <w:spacing w:after="0" w:line="276" w:lineRule="auto"/>
        <w:jc w:val="both"/>
        <w:rPr>
          <w:rFonts w:ascii="Arial" w:eastAsia="Arial" w:hAnsi="Arial" w:cs="Arial"/>
          <w:sz w:val="24"/>
          <w:szCs w:val="24"/>
        </w:rPr>
      </w:pPr>
      <w:r>
        <w:rPr>
          <w:rFonts w:ascii="Arial" w:eastAsia="Arial" w:hAnsi="Arial" w:cs="Arial"/>
          <w:sz w:val="24"/>
          <w:szCs w:val="24"/>
        </w:rPr>
        <w:t xml:space="preserve">Cuando se indaga sobre la persona más influyente en el proceso lector durante la infancia (0 a 12 años) el 32% de las personas menciona a su madre y el 31% a sus profesores escolares, este último porcentaje aumenta cuando se pregunta por la persona más influyente en el proceso lector durante la adolescencia y la juventud (13 a 28 años), en donde el rol de los profesores escolares como figuras clave en el desarrollo lector aumenta notablemente respecto de otras opciones alcanzando un 63% de personas que los mencionan, seguido de un 17% de personas que otorgan a los familiares un papel similar. </w:t>
      </w:r>
    </w:p>
    <w:p w:rsidR="0023288B" w:rsidRDefault="00A0095D">
      <w:pPr>
        <w:spacing w:after="0" w:line="276" w:lineRule="auto"/>
        <w:jc w:val="both"/>
        <w:rPr>
          <w:rFonts w:ascii="Arial" w:eastAsia="Arial" w:hAnsi="Arial" w:cs="Arial"/>
          <w:sz w:val="24"/>
          <w:szCs w:val="24"/>
        </w:rPr>
      </w:pPr>
      <w:r>
        <w:rPr>
          <w:rFonts w:ascii="Arial" w:eastAsia="Arial" w:hAnsi="Arial" w:cs="Arial"/>
          <w:sz w:val="24"/>
          <w:szCs w:val="24"/>
        </w:rPr>
        <w:t xml:space="preserve">En conclusión, es esencial fortalecer y expandir los programas y acciones de promoción de la lectura en las instituciones educativas oficiales de Bogotá, ya que las estrategias actuales no han alcanzado el impacto necesario para transformar los hábitos lectores de la comunidad educativa, en especial de las y los estudiantes. Se requieren acciones renovadas, con un enfoque más integral y sostenible, que fomente el gusto por la lectura desde edades tempranas, impulse el pensamiento crítico, contribuya a mejorar los niveles de comprensión lectora, cierre brechas de </w:t>
      </w:r>
      <w:r>
        <w:rPr>
          <w:rFonts w:ascii="Arial" w:eastAsia="Arial" w:hAnsi="Arial" w:cs="Arial"/>
          <w:sz w:val="24"/>
          <w:szCs w:val="24"/>
        </w:rPr>
        <w:lastRenderedPageBreak/>
        <w:t>aprendizaje, y fortalezca la calidad educativa en el Distrito. Las acciones propuestas en el presente proyecto de acuerdo pueden incidir positivamente en el desempeño académico, la formación ciudadana y el acceso equitativo al conocimiento, lo que a futuro representa mejores oportunidades académicas y laborales de las y los estudiantes.</w:t>
      </w:r>
    </w:p>
    <w:p w:rsidR="0023288B" w:rsidRDefault="0023288B">
      <w:pPr>
        <w:spacing w:after="0" w:line="276" w:lineRule="auto"/>
        <w:jc w:val="both"/>
        <w:rPr>
          <w:rFonts w:ascii="Arial" w:eastAsia="Arial" w:hAnsi="Arial" w:cs="Arial"/>
          <w:sz w:val="24"/>
          <w:szCs w:val="24"/>
        </w:rPr>
      </w:pPr>
    </w:p>
    <w:p w:rsidR="0023288B" w:rsidRDefault="0023288B">
      <w:pPr>
        <w:spacing w:after="0" w:line="276" w:lineRule="auto"/>
        <w:jc w:val="both"/>
        <w:rPr>
          <w:rFonts w:ascii="Arial" w:eastAsia="Arial" w:hAnsi="Arial" w:cs="Arial"/>
          <w:sz w:val="24"/>
          <w:szCs w:val="24"/>
        </w:rPr>
      </w:pPr>
    </w:p>
    <w:p w:rsidR="0023288B" w:rsidRDefault="00A0095D">
      <w:pPr>
        <w:spacing w:line="276" w:lineRule="auto"/>
        <w:jc w:val="both"/>
        <w:rPr>
          <w:rFonts w:ascii="Arial" w:eastAsia="Arial" w:hAnsi="Arial" w:cs="Arial"/>
          <w:b/>
          <w:sz w:val="24"/>
          <w:szCs w:val="24"/>
        </w:rPr>
      </w:pPr>
      <w:r>
        <w:rPr>
          <w:rFonts w:ascii="Arial" w:eastAsia="Arial" w:hAnsi="Arial" w:cs="Arial"/>
          <w:b/>
          <w:sz w:val="24"/>
          <w:szCs w:val="24"/>
        </w:rPr>
        <w:t>VIII. PLIEGO DE MODIFICACIONES</w:t>
      </w:r>
    </w:p>
    <w:p w:rsidR="0023288B" w:rsidRDefault="00A0095D">
      <w:pPr>
        <w:spacing w:line="276" w:lineRule="auto"/>
        <w:jc w:val="both"/>
        <w:rPr>
          <w:rFonts w:ascii="Arial" w:eastAsia="Arial" w:hAnsi="Arial" w:cs="Arial"/>
          <w:sz w:val="24"/>
          <w:szCs w:val="24"/>
        </w:rPr>
      </w:pPr>
      <w:r>
        <w:rPr>
          <w:rFonts w:ascii="Arial" w:eastAsia="Arial" w:hAnsi="Arial" w:cs="Arial"/>
          <w:sz w:val="24"/>
          <w:szCs w:val="24"/>
        </w:rPr>
        <w:t>A continuación, se encuentran las modificaciones propuestas en calidad de ponentes:</w:t>
      </w:r>
    </w:p>
    <w:tbl>
      <w:tblPr>
        <w:tblStyle w:val="af3"/>
        <w:tblW w:w="8820" w:type="dxa"/>
        <w:tblInd w:w="-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045"/>
        <w:gridCol w:w="2985"/>
        <w:gridCol w:w="2790"/>
      </w:tblGrid>
      <w:tr w:rsidR="0023288B">
        <w:trPr>
          <w:trHeight w:val="180"/>
        </w:trPr>
        <w:tc>
          <w:tcPr>
            <w:tcW w:w="3045" w:type="dxa"/>
            <w:shd w:val="clear" w:color="auto" w:fill="DBDBDB"/>
            <w:vAlign w:val="center"/>
          </w:tcPr>
          <w:p w:rsidR="0023288B" w:rsidRDefault="00A0095D">
            <w:pPr>
              <w:jc w:val="center"/>
              <w:rPr>
                <w:rFonts w:ascii="Arial" w:eastAsia="Arial" w:hAnsi="Arial" w:cs="Arial"/>
                <w:b/>
                <w:sz w:val="24"/>
                <w:szCs w:val="24"/>
              </w:rPr>
            </w:pPr>
            <w:r>
              <w:rPr>
                <w:rFonts w:ascii="Arial" w:eastAsia="Arial" w:hAnsi="Arial" w:cs="Arial"/>
                <w:b/>
                <w:sz w:val="24"/>
                <w:szCs w:val="24"/>
              </w:rPr>
              <w:t>TEXTO RADICADO</w:t>
            </w:r>
          </w:p>
        </w:tc>
        <w:tc>
          <w:tcPr>
            <w:tcW w:w="2985" w:type="dxa"/>
            <w:tcBorders>
              <w:bottom w:val="single" w:sz="4" w:space="0" w:color="000000"/>
            </w:tcBorders>
            <w:shd w:val="clear" w:color="auto" w:fill="DBDBDB"/>
            <w:vAlign w:val="center"/>
          </w:tcPr>
          <w:p w:rsidR="0023288B" w:rsidRDefault="0023288B">
            <w:pPr>
              <w:jc w:val="center"/>
              <w:rPr>
                <w:rFonts w:ascii="Arial" w:eastAsia="Arial" w:hAnsi="Arial" w:cs="Arial"/>
                <w:b/>
                <w:sz w:val="24"/>
                <w:szCs w:val="24"/>
              </w:rPr>
            </w:pPr>
          </w:p>
          <w:p w:rsidR="0023288B" w:rsidRDefault="00A0095D">
            <w:pPr>
              <w:jc w:val="center"/>
              <w:rPr>
                <w:rFonts w:ascii="Arial" w:eastAsia="Arial" w:hAnsi="Arial" w:cs="Arial"/>
                <w:b/>
                <w:sz w:val="24"/>
                <w:szCs w:val="24"/>
              </w:rPr>
            </w:pPr>
            <w:r>
              <w:rPr>
                <w:rFonts w:ascii="Arial" w:eastAsia="Arial" w:hAnsi="Arial" w:cs="Arial"/>
                <w:b/>
                <w:sz w:val="24"/>
                <w:szCs w:val="24"/>
              </w:rPr>
              <w:t>TEXTO PROPUESTO PARA PRIMER DEBATE</w:t>
            </w:r>
          </w:p>
          <w:p w:rsidR="0023288B" w:rsidRDefault="0023288B">
            <w:pPr>
              <w:jc w:val="center"/>
              <w:rPr>
                <w:rFonts w:ascii="Arial" w:eastAsia="Arial" w:hAnsi="Arial" w:cs="Arial"/>
                <w:b/>
                <w:sz w:val="24"/>
                <w:szCs w:val="24"/>
              </w:rPr>
            </w:pPr>
          </w:p>
        </w:tc>
        <w:tc>
          <w:tcPr>
            <w:tcW w:w="2790" w:type="dxa"/>
            <w:shd w:val="clear" w:color="auto" w:fill="DBDBDB"/>
            <w:vAlign w:val="center"/>
          </w:tcPr>
          <w:p w:rsidR="0023288B" w:rsidRDefault="00A0095D">
            <w:pPr>
              <w:jc w:val="center"/>
              <w:rPr>
                <w:rFonts w:ascii="Arial" w:eastAsia="Arial" w:hAnsi="Arial" w:cs="Arial"/>
                <w:b/>
                <w:sz w:val="24"/>
                <w:szCs w:val="24"/>
              </w:rPr>
            </w:pPr>
            <w:r>
              <w:rPr>
                <w:rFonts w:ascii="Arial" w:eastAsia="Arial" w:hAnsi="Arial" w:cs="Arial"/>
                <w:b/>
                <w:sz w:val="24"/>
                <w:szCs w:val="24"/>
              </w:rPr>
              <w:t>OBSERVACIONES</w:t>
            </w:r>
          </w:p>
        </w:tc>
      </w:tr>
      <w:tr w:rsidR="0023288B">
        <w:trPr>
          <w:trHeight w:val="180"/>
        </w:trPr>
        <w:tc>
          <w:tcPr>
            <w:tcW w:w="3045" w:type="dxa"/>
            <w:shd w:val="clear" w:color="auto" w:fill="FFFFFF"/>
            <w:vAlign w:val="center"/>
          </w:tcPr>
          <w:p w:rsidR="0023288B" w:rsidRDefault="0023288B">
            <w:pPr>
              <w:rPr>
                <w:rFonts w:ascii="Arial" w:eastAsia="Arial" w:hAnsi="Arial" w:cs="Arial"/>
                <w:b/>
                <w:sz w:val="24"/>
                <w:szCs w:val="24"/>
              </w:rPr>
            </w:pPr>
          </w:p>
          <w:p w:rsidR="0023288B" w:rsidRDefault="00A0095D">
            <w:pPr>
              <w:jc w:val="center"/>
              <w:rPr>
                <w:rFonts w:ascii="Arial" w:eastAsia="Arial" w:hAnsi="Arial" w:cs="Arial"/>
                <w:b/>
                <w:sz w:val="24"/>
                <w:szCs w:val="24"/>
              </w:rPr>
            </w:pPr>
            <w:r>
              <w:rPr>
                <w:rFonts w:ascii="Arial" w:eastAsia="Arial" w:hAnsi="Arial" w:cs="Arial"/>
                <w:b/>
              </w:rPr>
              <w:t>“POR MEDIO DEL CUAL SE FOMENTA LA LECTURA EN LAS INSTITUCIONES EDUCATIVAS DISTRITALES A TRAVÉS DEL DÍA DE LA LECTURA”</w:t>
            </w:r>
          </w:p>
        </w:tc>
        <w:tc>
          <w:tcPr>
            <w:tcW w:w="2985" w:type="dxa"/>
            <w:tcBorders>
              <w:bottom w:val="single" w:sz="4" w:space="0" w:color="000000"/>
            </w:tcBorders>
            <w:shd w:val="clear" w:color="auto" w:fill="FFFFFF"/>
            <w:vAlign w:val="center"/>
          </w:tcPr>
          <w:p w:rsidR="0023288B" w:rsidRDefault="00A0095D">
            <w:pPr>
              <w:jc w:val="center"/>
              <w:rPr>
                <w:rFonts w:ascii="Arial" w:eastAsia="Arial" w:hAnsi="Arial" w:cs="Arial"/>
                <w:sz w:val="24"/>
                <w:szCs w:val="24"/>
              </w:rPr>
            </w:pPr>
            <w:r>
              <w:rPr>
                <w:rFonts w:ascii="Arial" w:eastAsia="Arial" w:hAnsi="Arial" w:cs="Arial"/>
                <w:sz w:val="24"/>
                <w:szCs w:val="24"/>
              </w:rPr>
              <w:t>Sin cambios</w:t>
            </w:r>
          </w:p>
        </w:tc>
        <w:tc>
          <w:tcPr>
            <w:tcW w:w="2790" w:type="dxa"/>
            <w:shd w:val="clear" w:color="auto" w:fill="FFFFFF"/>
            <w:vAlign w:val="center"/>
          </w:tcPr>
          <w:p w:rsidR="0023288B" w:rsidRDefault="0023288B">
            <w:pPr>
              <w:widowControl w:val="0"/>
              <w:pBdr>
                <w:top w:val="nil"/>
                <w:left w:val="nil"/>
                <w:bottom w:val="nil"/>
                <w:right w:val="nil"/>
                <w:between w:val="nil"/>
              </w:pBdr>
              <w:rPr>
                <w:rFonts w:ascii="Arial" w:eastAsia="Arial" w:hAnsi="Arial" w:cs="Arial"/>
                <w:b/>
                <w:sz w:val="24"/>
                <w:szCs w:val="24"/>
              </w:rPr>
            </w:pPr>
          </w:p>
        </w:tc>
      </w:tr>
      <w:tr w:rsidR="0023288B">
        <w:trPr>
          <w:trHeight w:val="1745"/>
        </w:trPr>
        <w:tc>
          <w:tcPr>
            <w:tcW w:w="3045" w:type="dxa"/>
            <w:tcBorders>
              <w:right w:val="single" w:sz="4" w:space="0" w:color="000000"/>
            </w:tcBorders>
          </w:tcPr>
          <w:p w:rsidR="0023288B" w:rsidRDefault="0023288B">
            <w:pPr>
              <w:jc w:val="both"/>
              <w:rPr>
                <w:rFonts w:ascii="Arial" w:eastAsia="Arial" w:hAnsi="Arial" w:cs="Arial"/>
                <w:sz w:val="24"/>
                <w:szCs w:val="24"/>
              </w:rPr>
            </w:pPr>
          </w:p>
          <w:p w:rsidR="0023288B" w:rsidRDefault="00A0095D">
            <w:pPr>
              <w:tabs>
                <w:tab w:val="left" w:pos="1560"/>
              </w:tabs>
              <w:spacing w:after="240"/>
              <w:jc w:val="center"/>
              <w:rPr>
                <w:rFonts w:ascii="Arial" w:eastAsia="Arial" w:hAnsi="Arial" w:cs="Arial"/>
                <w:b/>
                <w:sz w:val="24"/>
                <w:szCs w:val="24"/>
              </w:rPr>
            </w:pPr>
            <w:r>
              <w:rPr>
                <w:rFonts w:ascii="Arial" w:eastAsia="Arial" w:hAnsi="Arial" w:cs="Arial"/>
                <w:sz w:val="24"/>
                <w:szCs w:val="24"/>
              </w:rPr>
              <w:t>El Concejo de Bogotá en uso de sus atribuciones Constitucionales y Legales, especialmente las contenidas en el numeral 1 del artículo 12 del Decreto Ley 1421 de 1993 y en concordancia con los artículos 25 y 313 de la Constitución Política de Colombia,</w:t>
            </w:r>
          </w:p>
          <w:p w:rsidR="0023288B" w:rsidRDefault="00A0095D">
            <w:pPr>
              <w:tabs>
                <w:tab w:val="left" w:pos="1560"/>
              </w:tabs>
              <w:spacing w:after="240"/>
              <w:jc w:val="center"/>
              <w:rPr>
                <w:rFonts w:ascii="Arial" w:eastAsia="Arial" w:hAnsi="Arial" w:cs="Arial"/>
                <w:sz w:val="24"/>
                <w:szCs w:val="24"/>
              </w:rPr>
            </w:pPr>
            <w:r>
              <w:rPr>
                <w:rFonts w:ascii="Arial" w:eastAsia="Arial" w:hAnsi="Arial" w:cs="Arial"/>
                <w:b/>
                <w:sz w:val="24"/>
                <w:szCs w:val="24"/>
              </w:rPr>
              <w:t>ACUERDA:</w:t>
            </w:r>
          </w:p>
        </w:tc>
        <w:tc>
          <w:tcPr>
            <w:tcW w:w="2985" w:type="dxa"/>
            <w:tcBorders>
              <w:top w:val="single" w:sz="4" w:space="0" w:color="000000"/>
              <w:left w:val="single" w:sz="4" w:space="0" w:color="000000"/>
              <w:bottom w:val="single" w:sz="4" w:space="0" w:color="000000"/>
              <w:right w:val="single" w:sz="4" w:space="0" w:color="000000"/>
            </w:tcBorders>
          </w:tcPr>
          <w:p w:rsidR="0023288B" w:rsidRDefault="0023288B">
            <w:pPr>
              <w:tabs>
                <w:tab w:val="left" w:pos="1560"/>
              </w:tabs>
              <w:spacing w:after="240"/>
              <w:jc w:val="center"/>
              <w:rPr>
                <w:rFonts w:ascii="Arial" w:eastAsia="Arial" w:hAnsi="Arial" w:cs="Arial"/>
                <w:sz w:val="24"/>
                <w:szCs w:val="24"/>
              </w:rPr>
            </w:pPr>
          </w:p>
          <w:p w:rsidR="0023288B" w:rsidRDefault="00A0095D">
            <w:pPr>
              <w:tabs>
                <w:tab w:val="left" w:pos="1560"/>
              </w:tabs>
              <w:spacing w:after="240"/>
              <w:jc w:val="center"/>
              <w:rPr>
                <w:rFonts w:ascii="Arial" w:eastAsia="Arial" w:hAnsi="Arial" w:cs="Arial"/>
                <w:b/>
                <w:sz w:val="24"/>
                <w:szCs w:val="24"/>
              </w:rPr>
            </w:pPr>
            <w:r>
              <w:rPr>
                <w:rFonts w:ascii="Arial" w:eastAsia="Arial" w:hAnsi="Arial" w:cs="Arial"/>
                <w:sz w:val="24"/>
                <w:szCs w:val="24"/>
              </w:rPr>
              <w:t>Sin cambios</w:t>
            </w:r>
          </w:p>
          <w:p w:rsidR="0023288B" w:rsidRDefault="0023288B">
            <w:pPr>
              <w:pBdr>
                <w:top w:val="nil"/>
                <w:left w:val="nil"/>
                <w:bottom w:val="nil"/>
                <w:right w:val="nil"/>
                <w:between w:val="nil"/>
              </w:pBdr>
              <w:jc w:val="both"/>
              <w:rPr>
                <w:rFonts w:ascii="Arial" w:eastAsia="Arial" w:hAnsi="Arial" w:cs="Arial"/>
                <w:sz w:val="24"/>
                <w:szCs w:val="24"/>
              </w:rPr>
            </w:pPr>
          </w:p>
        </w:tc>
        <w:tc>
          <w:tcPr>
            <w:tcW w:w="2790" w:type="dxa"/>
            <w:tcBorders>
              <w:left w:val="single" w:sz="4" w:space="0" w:color="000000"/>
            </w:tcBorders>
          </w:tcPr>
          <w:p w:rsidR="0023288B" w:rsidRDefault="00A0095D">
            <w:pPr>
              <w:jc w:val="both"/>
              <w:rPr>
                <w:rFonts w:ascii="Arial" w:eastAsia="Arial" w:hAnsi="Arial" w:cs="Arial"/>
                <w:sz w:val="24"/>
                <w:szCs w:val="24"/>
              </w:rPr>
            </w:pPr>
            <w:r>
              <w:rPr>
                <w:rFonts w:ascii="Arial" w:eastAsia="Arial" w:hAnsi="Arial" w:cs="Arial"/>
                <w:sz w:val="24"/>
                <w:szCs w:val="24"/>
              </w:rPr>
              <w:t xml:space="preserve"> </w:t>
            </w:r>
          </w:p>
        </w:tc>
      </w:tr>
      <w:tr w:rsidR="0023288B">
        <w:trPr>
          <w:trHeight w:val="1745"/>
        </w:trPr>
        <w:tc>
          <w:tcPr>
            <w:tcW w:w="3045" w:type="dxa"/>
            <w:tcBorders>
              <w:right w:val="single" w:sz="4" w:space="0" w:color="000000"/>
            </w:tcBorders>
          </w:tcPr>
          <w:p w:rsidR="0023288B" w:rsidRDefault="00A0095D">
            <w:pPr>
              <w:tabs>
                <w:tab w:val="left" w:pos="1560"/>
              </w:tabs>
              <w:spacing w:after="240"/>
              <w:jc w:val="both"/>
              <w:rPr>
                <w:rFonts w:ascii="Arial" w:eastAsia="Arial" w:hAnsi="Arial" w:cs="Arial"/>
                <w:sz w:val="24"/>
                <w:szCs w:val="24"/>
              </w:rPr>
            </w:pPr>
            <w:r>
              <w:rPr>
                <w:rFonts w:ascii="Arial" w:eastAsia="Arial" w:hAnsi="Arial" w:cs="Arial"/>
                <w:b/>
                <w:sz w:val="24"/>
                <w:szCs w:val="24"/>
              </w:rPr>
              <w:lastRenderedPageBreak/>
              <w:t xml:space="preserve">ARTÍCULO 1. OBJETO.  </w:t>
            </w:r>
            <w:r>
              <w:rPr>
                <w:rFonts w:ascii="Arial" w:eastAsia="Arial" w:hAnsi="Arial" w:cs="Arial"/>
                <w:sz w:val="24"/>
                <w:szCs w:val="24"/>
              </w:rPr>
              <w:t xml:space="preserve">Crear el </w:t>
            </w:r>
            <w:r>
              <w:rPr>
                <w:rFonts w:ascii="Arial" w:eastAsia="Arial" w:hAnsi="Arial" w:cs="Arial"/>
                <w:i/>
                <w:sz w:val="24"/>
                <w:szCs w:val="24"/>
              </w:rPr>
              <w:t>“Día de la lectura”</w:t>
            </w:r>
            <w:r>
              <w:rPr>
                <w:rFonts w:ascii="Arial" w:eastAsia="Arial" w:hAnsi="Arial" w:cs="Arial"/>
                <w:sz w:val="24"/>
                <w:szCs w:val="24"/>
              </w:rPr>
              <w:t>, en las instituciones educativas del distrito (I.E.D.) con la intención de fomentar este hábito y el desarrollo de habilidades lectoras de los estudiantes.</w:t>
            </w:r>
          </w:p>
        </w:tc>
        <w:tc>
          <w:tcPr>
            <w:tcW w:w="2985" w:type="dxa"/>
            <w:tcBorders>
              <w:top w:val="single" w:sz="4" w:space="0" w:color="000000"/>
              <w:left w:val="single" w:sz="4" w:space="0" w:color="000000"/>
              <w:bottom w:val="single" w:sz="4" w:space="0" w:color="000000"/>
              <w:right w:val="single" w:sz="4" w:space="0" w:color="000000"/>
            </w:tcBorders>
          </w:tcPr>
          <w:p w:rsidR="0023288B" w:rsidRDefault="00A0095D">
            <w:pPr>
              <w:tabs>
                <w:tab w:val="left" w:pos="1560"/>
              </w:tabs>
              <w:spacing w:after="240"/>
              <w:jc w:val="both"/>
              <w:rPr>
                <w:rFonts w:ascii="Arial" w:eastAsia="Arial" w:hAnsi="Arial" w:cs="Arial"/>
                <w:sz w:val="24"/>
                <w:szCs w:val="24"/>
              </w:rPr>
            </w:pPr>
            <w:r>
              <w:rPr>
                <w:rFonts w:ascii="Arial" w:eastAsia="Arial" w:hAnsi="Arial" w:cs="Arial"/>
                <w:b/>
                <w:sz w:val="24"/>
                <w:szCs w:val="24"/>
              </w:rPr>
              <w:t xml:space="preserve">ARTÍCULO 1. OBJETO.  </w:t>
            </w:r>
            <w:r>
              <w:rPr>
                <w:rFonts w:ascii="Arial" w:eastAsia="Arial" w:hAnsi="Arial" w:cs="Arial"/>
                <w:color w:val="FF0000"/>
                <w:sz w:val="24"/>
                <w:szCs w:val="24"/>
              </w:rPr>
              <w:t xml:space="preserve">Establecer el día 6 de marzo como </w:t>
            </w:r>
            <w:r>
              <w:rPr>
                <w:rFonts w:ascii="Arial" w:eastAsia="Arial" w:hAnsi="Arial" w:cs="Arial"/>
                <w:sz w:val="24"/>
                <w:szCs w:val="24"/>
              </w:rPr>
              <w:t xml:space="preserve">el </w:t>
            </w:r>
            <w:r>
              <w:rPr>
                <w:rFonts w:ascii="Arial" w:eastAsia="Arial" w:hAnsi="Arial" w:cs="Arial"/>
                <w:i/>
                <w:sz w:val="24"/>
                <w:szCs w:val="24"/>
              </w:rPr>
              <w:t xml:space="preserve">“Día de </w:t>
            </w:r>
            <w:r>
              <w:rPr>
                <w:rFonts w:ascii="Arial" w:eastAsia="Arial" w:hAnsi="Arial" w:cs="Arial"/>
                <w:color w:val="FF0000"/>
                <w:sz w:val="24"/>
                <w:szCs w:val="24"/>
              </w:rPr>
              <w:t>fomento</w:t>
            </w:r>
            <w:r>
              <w:rPr>
                <w:rFonts w:ascii="Arial" w:eastAsia="Arial" w:hAnsi="Arial" w:cs="Arial"/>
                <w:i/>
                <w:sz w:val="24"/>
                <w:szCs w:val="24"/>
              </w:rPr>
              <w:t xml:space="preserve"> de la lectura”</w:t>
            </w:r>
            <w:r>
              <w:rPr>
                <w:rFonts w:ascii="Arial" w:eastAsia="Arial" w:hAnsi="Arial" w:cs="Arial"/>
                <w:sz w:val="24"/>
                <w:szCs w:val="24"/>
              </w:rPr>
              <w:t xml:space="preserve">, en las instituciones educativas del distrito (I.E.D.) con la intención de </w:t>
            </w:r>
            <w:r>
              <w:rPr>
                <w:rFonts w:ascii="Arial" w:eastAsia="Arial" w:hAnsi="Arial" w:cs="Arial"/>
                <w:color w:val="FF0000"/>
                <w:sz w:val="24"/>
                <w:szCs w:val="24"/>
              </w:rPr>
              <w:t>cultivar</w:t>
            </w:r>
            <w:r>
              <w:rPr>
                <w:rFonts w:ascii="Arial" w:eastAsia="Arial" w:hAnsi="Arial" w:cs="Arial"/>
                <w:sz w:val="24"/>
                <w:szCs w:val="24"/>
              </w:rPr>
              <w:t xml:space="preserve"> este hábito </w:t>
            </w:r>
            <w:r>
              <w:rPr>
                <w:rFonts w:ascii="Arial" w:eastAsia="Arial" w:hAnsi="Arial" w:cs="Arial"/>
                <w:color w:val="FF0000"/>
                <w:sz w:val="24"/>
                <w:szCs w:val="24"/>
              </w:rPr>
              <w:t xml:space="preserve">para el desarrollo de habilidades de las y los estudiantes. </w:t>
            </w:r>
          </w:p>
        </w:tc>
        <w:tc>
          <w:tcPr>
            <w:tcW w:w="2790" w:type="dxa"/>
            <w:tcBorders>
              <w:left w:val="single" w:sz="4" w:space="0" w:color="000000"/>
            </w:tcBorders>
          </w:tcPr>
          <w:p w:rsidR="0023288B" w:rsidRDefault="00A0095D">
            <w:pPr>
              <w:jc w:val="both"/>
              <w:rPr>
                <w:rFonts w:ascii="Arial" w:eastAsia="Arial" w:hAnsi="Arial" w:cs="Arial"/>
                <w:sz w:val="24"/>
                <w:szCs w:val="24"/>
              </w:rPr>
            </w:pPr>
            <w:r>
              <w:rPr>
                <w:rFonts w:ascii="Arial" w:eastAsia="Arial" w:hAnsi="Arial" w:cs="Arial"/>
                <w:sz w:val="24"/>
                <w:szCs w:val="24"/>
              </w:rPr>
              <w:t>Esto en concordancia con el artículo 1 del Acuerdo Distrital 093 de 2003, que establece   el día 6 de marzo como el día del fomento de la lectura en Bogotá, en homenaje al premio Nobel de Literatura, GABRIEL GARCÍA MÁRQUEZ, en el día de su natalicio.</w:t>
            </w:r>
          </w:p>
        </w:tc>
      </w:tr>
      <w:tr w:rsidR="0023288B">
        <w:trPr>
          <w:trHeight w:val="1745"/>
        </w:trPr>
        <w:tc>
          <w:tcPr>
            <w:tcW w:w="3045" w:type="dxa"/>
            <w:tcBorders>
              <w:right w:val="single" w:sz="4" w:space="0" w:color="000000"/>
            </w:tcBorders>
          </w:tcPr>
          <w:p w:rsidR="0023288B" w:rsidRDefault="00A0095D">
            <w:pPr>
              <w:tabs>
                <w:tab w:val="left" w:pos="1560"/>
              </w:tabs>
              <w:spacing w:after="240"/>
              <w:jc w:val="both"/>
              <w:rPr>
                <w:rFonts w:ascii="Arial" w:eastAsia="Arial" w:hAnsi="Arial" w:cs="Arial"/>
                <w:sz w:val="24"/>
                <w:szCs w:val="24"/>
              </w:rPr>
            </w:pPr>
            <w:r>
              <w:rPr>
                <w:rFonts w:ascii="Arial" w:eastAsia="Arial" w:hAnsi="Arial" w:cs="Arial"/>
                <w:b/>
                <w:sz w:val="24"/>
                <w:szCs w:val="24"/>
              </w:rPr>
              <w:t xml:space="preserve">ARTÍCULO 2. APLICACIÓN. </w:t>
            </w:r>
            <w:r>
              <w:rPr>
                <w:rFonts w:ascii="Arial" w:eastAsia="Arial" w:hAnsi="Arial" w:cs="Arial"/>
                <w:sz w:val="24"/>
                <w:szCs w:val="24"/>
              </w:rPr>
              <w:t>La Secretaría de Educación, en articulación con las autoridades educativas competentes, dispondrá que, por lo menos una vez por semestre, las instituciones educativas distritales (I.E.D.) programen un día destinado exclusivamente a la lectura de obras de libre elección por parte de los estudiantes.</w:t>
            </w:r>
          </w:p>
        </w:tc>
        <w:tc>
          <w:tcPr>
            <w:tcW w:w="2985" w:type="dxa"/>
            <w:tcBorders>
              <w:top w:val="single" w:sz="4" w:space="0" w:color="000000"/>
              <w:left w:val="single" w:sz="4" w:space="0" w:color="000000"/>
              <w:bottom w:val="single" w:sz="4" w:space="0" w:color="000000"/>
              <w:right w:val="single" w:sz="4" w:space="0" w:color="000000"/>
            </w:tcBorders>
          </w:tcPr>
          <w:p w:rsidR="0023288B" w:rsidRDefault="00A0095D">
            <w:pPr>
              <w:jc w:val="both"/>
              <w:rPr>
                <w:rFonts w:ascii="Arial" w:eastAsia="Arial" w:hAnsi="Arial" w:cs="Arial"/>
                <w:sz w:val="24"/>
                <w:szCs w:val="24"/>
              </w:rPr>
            </w:pPr>
            <w:r>
              <w:rPr>
                <w:rFonts w:ascii="Arial" w:eastAsia="Arial" w:hAnsi="Arial" w:cs="Arial"/>
                <w:sz w:val="24"/>
                <w:szCs w:val="24"/>
              </w:rPr>
              <w:t xml:space="preserve">Sin cambios </w:t>
            </w:r>
          </w:p>
        </w:tc>
        <w:tc>
          <w:tcPr>
            <w:tcW w:w="2790" w:type="dxa"/>
            <w:tcBorders>
              <w:left w:val="single" w:sz="4" w:space="0" w:color="000000"/>
            </w:tcBorders>
          </w:tcPr>
          <w:p w:rsidR="0023288B" w:rsidRDefault="0023288B">
            <w:pPr>
              <w:jc w:val="both"/>
              <w:rPr>
                <w:rFonts w:ascii="Arial" w:eastAsia="Arial" w:hAnsi="Arial" w:cs="Arial"/>
                <w:sz w:val="24"/>
                <w:szCs w:val="24"/>
              </w:rPr>
            </w:pPr>
          </w:p>
        </w:tc>
      </w:tr>
      <w:tr w:rsidR="0023288B">
        <w:trPr>
          <w:trHeight w:val="1745"/>
        </w:trPr>
        <w:tc>
          <w:tcPr>
            <w:tcW w:w="3045" w:type="dxa"/>
            <w:tcBorders>
              <w:right w:val="single" w:sz="4" w:space="0" w:color="000000"/>
            </w:tcBorders>
          </w:tcPr>
          <w:p w:rsidR="0023288B" w:rsidRDefault="00A0095D">
            <w:pPr>
              <w:tabs>
                <w:tab w:val="left" w:pos="1560"/>
              </w:tabs>
              <w:spacing w:after="240"/>
              <w:jc w:val="both"/>
              <w:rPr>
                <w:rFonts w:ascii="Arial" w:eastAsia="Arial" w:hAnsi="Arial" w:cs="Arial"/>
                <w:b/>
                <w:sz w:val="24"/>
                <w:szCs w:val="24"/>
              </w:rPr>
            </w:pPr>
            <w:r>
              <w:rPr>
                <w:rFonts w:ascii="Arial" w:eastAsia="Arial" w:hAnsi="Arial" w:cs="Arial"/>
                <w:b/>
                <w:sz w:val="24"/>
                <w:szCs w:val="24"/>
              </w:rPr>
              <w:t xml:space="preserve">Artículo nuevo </w:t>
            </w:r>
          </w:p>
        </w:tc>
        <w:tc>
          <w:tcPr>
            <w:tcW w:w="2985" w:type="dxa"/>
            <w:tcBorders>
              <w:top w:val="single" w:sz="4" w:space="0" w:color="000000"/>
              <w:left w:val="single" w:sz="4" w:space="0" w:color="000000"/>
              <w:bottom w:val="single" w:sz="4" w:space="0" w:color="000000"/>
              <w:right w:val="single" w:sz="4" w:space="0" w:color="000000"/>
            </w:tcBorders>
          </w:tcPr>
          <w:p w:rsidR="0023288B" w:rsidRDefault="00A0095D">
            <w:pPr>
              <w:jc w:val="both"/>
              <w:rPr>
                <w:rFonts w:ascii="Arial" w:eastAsia="Arial" w:hAnsi="Arial" w:cs="Arial"/>
                <w:color w:val="FF0000"/>
                <w:sz w:val="24"/>
                <w:szCs w:val="24"/>
              </w:rPr>
            </w:pPr>
            <w:r>
              <w:rPr>
                <w:rFonts w:ascii="Arial" w:eastAsia="Arial" w:hAnsi="Arial" w:cs="Arial"/>
                <w:b/>
                <w:color w:val="FF0000"/>
                <w:sz w:val="24"/>
                <w:szCs w:val="24"/>
              </w:rPr>
              <w:t>ARTÍCULO 3. COOPERACIÓN.</w:t>
            </w:r>
            <w:r>
              <w:rPr>
                <w:rFonts w:ascii="Arial" w:eastAsia="Arial" w:hAnsi="Arial" w:cs="Arial"/>
                <w:color w:val="FF0000"/>
                <w:sz w:val="24"/>
                <w:szCs w:val="24"/>
              </w:rPr>
              <w:t xml:space="preserve"> En el desarrollo del principio de colaboración armónica entre entidades públicas, la Administración Distrital, podrá celebrar convenios interadministrativos y/o alianzas con el sector</w:t>
            </w:r>
          </w:p>
          <w:p w:rsidR="0023288B" w:rsidRDefault="00A0095D">
            <w:pPr>
              <w:jc w:val="both"/>
              <w:rPr>
                <w:rFonts w:ascii="Arial" w:eastAsia="Arial" w:hAnsi="Arial" w:cs="Arial"/>
                <w:color w:val="FF0000"/>
                <w:sz w:val="24"/>
                <w:szCs w:val="24"/>
              </w:rPr>
            </w:pPr>
            <w:r>
              <w:rPr>
                <w:rFonts w:ascii="Arial" w:eastAsia="Arial" w:hAnsi="Arial" w:cs="Arial"/>
                <w:color w:val="FF0000"/>
                <w:sz w:val="24"/>
                <w:szCs w:val="24"/>
              </w:rPr>
              <w:t xml:space="preserve">privado, para garantizar que las jornadas semestrales  cuenten con una oferta literaria y actividades innovadoras </w:t>
            </w:r>
            <w:r>
              <w:rPr>
                <w:rFonts w:ascii="Arial" w:eastAsia="Arial" w:hAnsi="Arial" w:cs="Arial"/>
                <w:color w:val="FF0000"/>
                <w:sz w:val="24"/>
                <w:szCs w:val="24"/>
              </w:rPr>
              <w:lastRenderedPageBreak/>
              <w:t xml:space="preserve">que motive a los estudiantes a cultivar el hábito de la lectura. </w:t>
            </w:r>
          </w:p>
          <w:p w:rsidR="0023288B" w:rsidRDefault="0023288B">
            <w:pPr>
              <w:jc w:val="both"/>
              <w:rPr>
                <w:rFonts w:ascii="Arial" w:eastAsia="Arial" w:hAnsi="Arial" w:cs="Arial"/>
                <w:sz w:val="24"/>
                <w:szCs w:val="24"/>
              </w:rPr>
            </w:pPr>
          </w:p>
          <w:p w:rsidR="0023288B" w:rsidRDefault="0023288B">
            <w:pPr>
              <w:jc w:val="both"/>
              <w:rPr>
                <w:rFonts w:ascii="Arial" w:eastAsia="Arial" w:hAnsi="Arial" w:cs="Arial"/>
                <w:sz w:val="24"/>
                <w:szCs w:val="24"/>
              </w:rPr>
            </w:pPr>
          </w:p>
        </w:tc>
        <w:tc>
          <w:tcPr>
            <w:tcW w:w="2790" w:type="dxa"/>
            <w:tcBorders>
              <w:left w:val="single" w:sz="4" w:space="0" w:color="000000"/>
            </w:tcBorders>
          </w:tcPr>
          <w:p w:rsidR="0023288B" w:rsidRDefault="0023288B">
            <w:pPr>
              <w:jc w:val="both"/>
              <w:rPr>
                <w:rFonts w:ascii="Arial" w:eastAsia="Arial" w:hAnsi="Arial" w:cs="Arial"/>
                <w:sz w:val="24"/>
                <w:szCs w:val="24"/>
              </w:rPr>
            </w:pPr>
          </w:p>
        </w:tc>
      </w:tr>
      <w:tr w:rsidR="0023288B">
        <w:trPr>
          <w:trHeight w:val="542"/>
        </w:trPr>
        <w:tc>
          <w:tcPr>
            <w:tcW w:w="3045" w:type="dxa"/>
            <w:tcBorders>
              <w:top w:val="single" w:sz="4" w:space="0" w:color="000000"/>
              <w:left w:val="single" w:sz="4" w:space="0" w:color="000000"/>
              <w:bottom w:val="single" w:sz="4" w:space="0" w:color="000000"/>
              <w:right w:val="single" w:sz="4" w:space="0" w:color="000000"/>
            </w:tcBorders>
          </w:tcPr>
          <w:p w:rsidR="0023288B" w:rsidRDefault="00A0095D">
            <w:pPr>
              <w:tabs>
                <w:tab w:val="left" w:pos="1560"/>
              </w:tabs>
              <w:spacing w:after="240"/>
              <w:jc w:val="both"/>
              <w:rPr>
                <w:rFonts w:ascii="Arial" w:eastAsia="Arial" w:hAnsi="Arial" w:cs="Arial"/>
                <w:sz w:val="24"/>
                <w:szCs w:val="24"/>
              </w:rPr>
            </w:pPr>
            <w:r>
              <w:rPr>
                <w:rFonts w:ascii="Arial" w:eastAsia="Arial" w:hAnsi="Arial" w:cs="Arial"/>
                <w:b/>
                <w:sz w:val="24"/>
                <w:szCs w:val="24"/>
              </w:rPr>
              <w:lastRenderedPageBreak/>
              <w:t xml:space="preserve">ARTÍCULO </w:t>
            </w:r>
            <w:r>
              <w:rPr>
                <w:rFonts w:ascii="Arial" w:eastAsia="Arial" w:hAnsi="Arial" w:cs="Arial"/>
                <w:b/>
                <w:strike/>
                <w:sz w:val="24"/>
                <w:szCs w:val="24"/>
              </w:rPr>
              <w:t>3</w:t>
            </w:r>
            <w:r>
              <w:rPr>
                <w:rFonts w:ascii="Arial" w:eastAsia="Arial" w:hAnsi="Arial" w:cs="Arial"/>
                <w:b/>
                <w:sz w:val="24"/>
                <w:szCs w:val="24"/>
              </w:rPr>
              <w:t xml:space="preserve">. VIGENCIA. </w:t>
            </w:r>
            <w:r>
              <w:rPr>
                <w:rFonts w:ascii="Arial" w:eastAsia="Arial" w:hAnsi="Arial" w:cs="Arial"/>
                <w:sz w:val="24"/>
                <w:szCs w:val="24"/>
              </w:rPr>
              <w:t>El presente Acuerdo rige a partir de la fecha de su publicación.</w:t>
            </w:r>
          </w:p>
        </w:tc>
        <w:tc>
          <w:tcPr>
            <w:tcW w:w="2985" w:type="dxa"/>
            <w:tcBorders>
              <w:top w:val="single" w:sz="4" w:space="0" w:color="000000"/>
              <w:left w:val="single" w:sz="4" w:space="0" w:color="000000"/>
              <w:bottom w:val="single" w:sz="4" w:space="0" w:color="000000"/>
              <w:right w:val="single" w:sz="4" w:space="0" w:color="000000"/>
            </w:tcBorders>
          </w:tcPr>
          <w:p w:rsidR="0023288B" w:rsidRDefault="00A0095D">
            <w:pPr>
              <w:tabs>
                <w:tab w:val="left" w:pos="1560"/>
              </w:tabs>
              <w:spacing w:after="240"/>
              <w:jc w:val="both"/>
              <w:rPr>
                <w:rFonts w:ascii="Arial" w:eastAsia="Arial" w:hAnsi="Arial" w:cs="Arial"/>
                <w:sz w:val="24"/>
                <w:szCs w:val="24"/>
              </w:rPr>
            </w:pPr>
            <w:r>
              <w:rPr>
                <w:rFonts w:ascii="Arial" w:eastAsia="Arial" w:hAnsi="Arial" w:cs="Arial"/>
                <w:b/>
                <w:sz w:val="24"/>
                <w:szCs w:val="24"/>
              </w:rPr>
              <w:t xml:space="preserve">ARTÍCULO </w:t>
            </w:r>
            <w:r>
              <w:rPr>
                <w:rFonts w:ascii="Arial" w:eastAsia="Arial" w:hAnsi="Arial" w:cs="Arial"/>
                <w:b/>
                <w:strike/>
                <w:color w:val="FF0000"/>
                <w:sz w:val="24"/>
                <w:szCs w:val="24"/>
              </w:rPr>
              <w:t>4</w:t>
            </w:r>
            <w:r>
              <w:rPr>
                <w:rFonts w:ascii="Arial" w:eastAsia="Arial" w:hAnsi="Arial" w:cs="Arial"/>
                <w:b/>
                <w:sz w:val="24"/>
                <w:szCs w:val="24"/>
              </w:rPr>
              <w:t xml:space="preserve">. VIGENCIA. </w:t>
            </w:r>
            <w:r>
              <w:rPr>
                <w:rFonts w:ascii="Arial" w:eastAsia="Arial" w:hAnsi="Arial" w:cs="Arial"/>
                <w:sz w:val="24"/>
                <w:szCs w:val="24"/>
              </w:rPr>
              <w:t>El presente Acuerdo rige a partir de la fecha de su publicación.</w:t>
            </w:r>
          </w:p>
        </w:tc>
        <w:tc>
          <w:tcPr>
            <w:tcW w:w="2790" w:type="dxa"/>
            <w:tcBorders>
              <w:top w:val="single" w:sz="4" w:space="0" w:color="000000"/>
              <w:left w:val="single" w:sz="4" w:space="0" w:color="000000"/>
              <w:bottom w:val="single" w:sz="4" w:space="0" w:color="000000"/>
              <w:right w:val="single" w:sz="4" w:space="0" w:color="000000"/>
            </w:tcBorders>
          </w:tcPr>
          <w:p w:rsidR="0023288B" w:rsidRDefault="0023288B">
            <w:pPr>
              <w:jc w:val="both"/>
              <w:rPr>
                <w:rFonts w:ascii="Arial" w:eastAsia="Arial" w:hAnsi="Arial" w:cs="Arial"/>
                <w:sz w:val="24"/>
                <w:szCs w:val="24"/>
              </w:rPr>
            </w:pPr>
          </w:p>
        </w:tc>
      </w:tr>
    </w:tbl>
    <w:p w:rsidR="0023288B" w:rsidRDefault="0023288B">
      <w:pPr>
        <w:spacing w:line="240" w:lineRule="auto"/>
        <w:jc w:val="both"/>
        <w:rPr>
          <w:rFonts w:ascii="Arial" w:eastAsia="Arial" w:hAnsi="Arial" w:cs="Arial"/>
          <w:b/>
          <w:sz w:val="24"/>
          <w:szCs w:val="24"/>
          <w:shd w:val="clear" w:color="auto" w:fill="FF9900"/>
        </w:rPr>
      </w:pPr>
    </w:p>
    <w:p w:rsidR="0023288B" w:rsidRDefault="00A0095D">
      <w:pPr>
        <w:spacing w:line="276" w:lineRule="auto"/>
        <w:jc w:val="both"/>
        <w:rPr>
          <w:rFonts w:ascii="Arial" w:eastAsia="Arial" w:hAnsi="Arial" w:cs="Arial"/>
          <w:b/>
          <w:sz w:val="24"/>
          <w:szCs w:val="24"/>
          <w:highlight w:val="white"/>
        </w:rPr>
      </w:pPr>
      <w:r>
        <w:rPr>
          <w:rFonts w:ascii="Arial" w:eastAsia="Arial" w:hAnsi="Arial" w:cs="Arial"/>
          <w:b/>
          <w:sz w:val="24"/>
          <w:szCs w:val="24"/>
          <w:highlight w:val="white"/>
        </w:rPr>
        <w:t>IX.  CONCLUSIONES</w:t>
      </w:r>
    </w:p>
    <w:p w:rsidR="0023288B" w:rsidRDefault="00A0095D">
      <w:pPr>
        <w:spacing w:line="276" w:lineRule="auto"/>
        <w:jc w:val="both"/>
        <w:rPr>
          <w:rFonts w:ascii="Arial" w:eastAsia="Arial" w:hAnsi="Arial" w:cs="Arial"/>
          <w:i/>
          <w:sz w:val="24"/>
          <w:szCs w:val="24"/>
          <w:highlight w:val="white"/>
        </w:rPr>
      </w:pPr>
      <w:r>
        <w:rPr>
          <w:rFonts w:ascii="Arial" w:eastAsia="Arial" w:hAnsi="Arial" w:cs="Arial"/>
          <w:sz w:val="24"/>
          <w:szCs w:val="24"/>
          <w:highlight w:val="white"/>
        </w:rPr>
        <w:t>En atención con los argumentos esbozados en las consideraciones me permito rendir</w:t>
      </w:r>
      <w:r>
        <w:rPr>
          <w:rFonts w:ascii="Arial" w:eastAsia="Arial" w:hAnsi="Arial" w:cs="Arial"/>
          <w:b/>
          <w:sz w:val="24"/>
          <w:szCs w:val="24"/>
          <w:highlight w:val="white"/>
        </w:rPr>
        <w:t xml:space="preserve"> PONENCIA POSITIVA CON MODIFICACIONES </w:t>
      </w:r>
      <w:r>
        <w:rPr>
          <w:rFonts w:ascii="Arial" w:eastAsia="Arial" w:hAnsi="Arial" w:cs="Arial"/>
          <w:sz w:val="24"/>
          <w:szCs w:val="24"/>
          <w:highlight w:val="white"/>
        </w:rPr>
        <w:t xml:space="preserve">al Proyecto de Acuerdo 465 de 2025: </w:t>
      </w:r>
      <w:r>
        <w:rPr>
          <w:rFonts w:ascii="Arial" w:eastAsia="Arial" w:hAnsi="Arial" w:cs="Arial"/>
          <w:i/>
          <w:sz w:val="24"/>
          <w:szCs w:val="24"/>
          <w:highlight w:val="white"/>
        </w:rPr>
        <w:t>“</w:t>
      </w:r>
      <w:r>
        <w:rPr>
          <w:rFonts w:ascii="Arial" w:eastAsia="Arial" w:hAnsi="Arial" w:cs="Arial"/>
          <w:i/>
          <w:sz w:val="24"/>
          <w:szCs w:val="24"/>
        </w:rPr>
        <w:t>Por medio del cual se fomenta la lectura en las instituciones educativas distritales a través del día de la lectura</w:t>
      </w:r>
      <w:r>
        <w:rPr>
          <w:rFonts w:ascii="Arial" w:eastAsia="Arial" w:hAnsi="Arial" w:cs="Arial"/>
          <w:i/>
          <w:sz w:val="24"/>
          <w:szCs w:val="24"/>
          <w:highlight w:val="white"/>
        </w:rPr>
        <w:t>”.</w:t>
      </w:r>
    </w:p>
    <w:p w:rsidR="0023288B" w:rsidRDefault="00A0095D">
      <w:pPr>
        <w:spacing w:after="0" w:line="276" w:lineRule="auto"/>
        <w:jc w:val="both"/>
        <w:rPr>
          <w:rFonts w:ascii="Arial" w:eastAsia="Arial" w:hAnsi="Arial" w:cs="Arial"/>
          <w:sz w:val="24"/>
          <w:szCs w:val="24"/>
        </w:rPr>
      </w:pPr>
      <w:r>
        <w:rPr>
          <w:rFonts w:ascii="Arial" w:eastAsia="Arial" w:hAnsi="Arial" w:cs="Arial"/>
          <w:sz w:val="24"/>
          <w:szCs w:val="24"/>
        </w:rPr>
        <w:t>Cordialmente,</w:t>
      </w:r>
    </w:p>
    <w:tbl>
      <w:tblPr>
        <w:tblStyle w:val="af4"/>
        <w:tblW w:w="8975" w:type="dxa"/>
        <w:tblInd w:w="-147" w:type="dxa"/>
        <w:tblBorders>
          <w:top w:val="nil"/>
          <w:left w:val="nil"/>
          <w:bottom w:val="nil"/>
          <w:right w:val="nil"/>
          <w:insideH w:val="nil"/>
          <w:insideV w:val="nil"/>
        </w:tblBorders>
        <w:tblLayout w:type="fixed"/>
        <w:tblLook w:val="0400" w:firstRow="0" w:lastRow="0" w:firstColumn="0" w:lastColumn="0" w:noHBand="0" w:noVBand="1"/>
      </w:tblPr>
      <w:tblGrid>
        <w:gridCol w:w="4561"/>
        <w:gridCol w:w="4414"/>
      </w:tblGrid>
      <w:tr w:rsidR="0023288B">
        <w:tc>
          <w:tcPr>
            <w:tcW w:w="4561" w:type="dxa"/>
          </w:tcPr>
          <w:p w:rsidR="0023288B" w:rsidRDefault="0023288B">
            <w:pPr>
              <w:widowControl w:val="0"/>
              <w:pBdr>
                <w:top w:val="nil"/>
                <w:left w:val="nil"/>
                <w:bottom w:val="nil"/>
                <w:right w:val="nil"/>
                <w:between w:val="nil"/>
              </w:pBdr>
              <w:spacing w:line="276" w:lineRule="auto"/>
              <w:rPr>
                <w:rFonts w:ascii="Arial" w:eastAsia="Arial" w:hAnsi="Arial" w:cs="Arial"/>
                <w:sz w:val="24"/>
                <w:szCs w:val="24"/>
              </w:rPr>
            </w:pPr>
          </w:p>
          <w:p w:rsidR="0023288B" w:rsidRDefault="0023288B">
            <w:pPr>
              <w:widowControl w:val="0"/>
              <w:pBdr>
                <w:top w:val="nil"/>
                <w:left w:val="nil"/>
                <w:bottom w:val="nil"/>
                <w:right w:val="nil"/>
                <w:between w:val="nil"/>
              </w:pBdr>
              <w:spacing w:line="276" w:lineRule="auto"/>
              <w:rPr>
                <w:rFonts w:ascii="Arial" w:eastAsia="Arial" w:hAnsi="Arial" w:cs="Arial"/>
                <w:sz w:val="24"/>
                <w:szCs w:val="24"/>
              </w:rPr>
            </w:pPr>
          </w:p>
          <w:p w:rsidR="0023288B" w:rsidRDefault="00A0095D">
            <w:pPr>
              <w:widowControl w:val="0"/>
              <w:pBdr>
                <w:top w:val="nil"/>
                <w:left w:val="nil"/>
                <w:bottom w:val="nil"/>
                <w:right w:val="nil"/>
                <w:between w:val="nil"/>
              </w:pBdr>
              <w:spacing w:line="276" w:lineRule="auto"/>
              <w:rPr>
                <w:rFonts w:ascii="Arial" w:eastAsia="Arial" w:hAnsi="Arial" w:cs="Arial"/>
                <w:sz w:val="24"/>
                <w:szCs w:val="24"/>
              </w:rPr>
            </w:pPr>
            <w:r>
              <w:rPr>
                <w:rFonts w:ascii="Arial" w:eastAsia="Arial" w:hAnsi="Arial" w:cs="Arial"/>
                <w:sz w:val="24"/>
                <w:szCs w:val="24"/>
              </w:rPr>
              <w:t>_____________________________</w:t>
            </w:r>
          </w:p>
          <w:p w:rsidR="0023288B" w:rsidRDefault="00A0095D">
            <w:pPr>
              <w:spacing w:line="276" w:lineRule="auto"/>
              <w:rPr>
                <w:rFonts w:ascii="Arial" w:eastAsia="Arial" w:hAnsi="Arial" w:cs="Arial"/>
                <w:b/>
                <w:sz w:val="24"/>
                <w:szCs w:val="24"/>
              </w:rPr>
            </w:pPr>
            <w:r>
              <w:rPr>
                <w:rFonts w:ascii="Arial" w:eastAsia="Arial" w:hAnsi="Arial" w:cs="Arial"/>
                <w:b/>
                <w:sz w:val="24"/>
                <w:szCs w:val="24"/>
              </w:rPr>
              <w:t xml:space="preserve">JULIÁN FELIPE TRIANA VARGAS </w:t>
            </w:r>
          </w:p>
          <w:p w:rsidR="0023288B" w:rsidRDefault="00A0095D">
            <w:pPr>
              <w:spacing w:line="276" w:lineRule="auto"/>
              <w:rPr>
                <w:rFonts w:ascii="Arial" w:eastAsia="Arial" w:hAnsi="Arial" w:cs="Arial"/>
                <w:b/>
                <w:sz w:val="24"/>
                <w:szCs w:val="24"/>
              </w:rPr>
            </w:pPr>
            <w:r>
              <w:rPr>
                <w:rFonts w:ascii="Arial" w:eastAsia="Arial" w:hAnsi="Arial" w:cs="Arial"/>
                <w:sz w:val="24"/>
                <w:szCs w:val="24"/>
              </w:rPr>
              <w:t>Concejal de Bogotá D.C.</w:t>
            </w:r>
            <w:r>
              <w:rPr>
                <w:rFonts w:ascii="Arial" w:eastAsia="Arial" w:hAnsi="Arial" w:cs="Arial"/>
                <w:b/>
                <w:sz w:val="24"/>
                <w:szCs w:val="24"/>
              </w:rPr>
              <w:t xml:space="preserve"> </w:t>
            </w:r>
          </w:p>
          <w:p w:rsidR="0023288B" w:rsidRDefault="00A0095D">
            <w:pPr>
              <w:spacing w:line="276" w:lineRule="auto"/>
              <w:rPr>
                <w:rFonts w:ascii="Arial" w:eastAsia="Arial" w:hAnsi="Arial" w:cs="Arial"/>
                <w:sz w:val="24"/>
                <w:szCs w:val="24"/>
              </w:rPr>
            </w:pPr>
            <w:r>
              <w:rPr>
                <w:rFonts w:ascii="Arial" w:eastAsia="Arial" w:hAnsi="Arial" w:cs="Arial"/>
                <w:sz w:val="24"/>
                <w:szCs w:val="24"/>
              </w:rPr>
              <w:t>Partido Alianza Verde</w:t>
            </w:r>
          </w:p>
          <w:p w:rsidR="0023288B" w:rsidRDefault="00A0095D">
            <w:pPr>
              <w:spacing w:line="276" w:lineRule="auto"/>
              <w:rPr>
                <w:rFonts w:ascii="Arial" w:eastAsia="Arial" w:hAnsi="Arial" w:cs="Arial"/>
                <w:sz w:val="24"/>
                <w:szCs w:val="24"/>
              </w:rPr>
            </w:pPr>
            <w:r>
              <w:rPr>
                <w:rFonts w:ascii="Arial" w:eastAsia="Arial" w:hAnsi="Arial" w:cs="Arial"/>
                <w:sz w:val="24"/>
                <w:szCs w:val="24"/>
              </w:rPr>
              <w:t>Ponente</w:t>
            </w:r>
          </w:p>
          <w:p w:rsidR="0023288B" w:rsidRDefault="00A0095D">
            <w:pPr>
              <w:spacing w:line="276" w:lineRule="auto"/>
              <w:rPr>
                <w:rFonts w:ascii="Arial" w:eastAsia="Arial" w:hAnsi="Arial" w:cs="Arial"/>
                <w:sz w:val="24"/>
                <w:szCs w:val="24"/>
              </w:rPr>
            </w:pPr>
            <w:r>
              <w:rPr>
                <w:rFonts w:ascii="Arial" w:eastAsia="Arial" w:hAnsi="Arial" w:cs="Arial"/>
                <w:sz w:val="24"/>
                <w:szCs w:val="24"/>
              </w:rPr>
              <w:t xml:space="preserve">          </w:t>
            </w:r>
          </w:p>
        </w:tc>
        <w:tc>
          <w:tcPr>
            <w:tcW w:w="4414" w:type="dxa"/>
          </w:tcPr>
          <w:p w:rsidR="0023288B" w:rsidRDefault="0023288B">
            <w:pPr>
              <w:widowControl w:val="0"/>
              <w:pBdr>
                <w:top w:val="nil"/>
                <w:left w:val="nil"/>
                <w:bottom w:val="nil"/>
                <w:right w:val="nil"/>
                <w:between w:val="nil"/>
              </w:pBdr>
              <w:spacing w:line="276" w:lineRule="auto"/>
              <w:rPr>
                <w:rFonts w:ascii="Arial" w:eastAsia="Arial" w:hAnsi="Arial" w:cs="Arial"/>
                <w:sz w:val="24"/>
                <w:szCs w:val="24"/>
              </w:rPr>
            </w:pPr>
          </w:p>
          <w:p w:rsidR="0023288B" w:rsidRDefault="0023288B">
            <w:pPr>
              <w:widowControl w:val="0"/>
              <w:pBdr>
                <w:top w:val="nil"/>
                <w:left w:val="nil"/>
                <w:bottom w:val="nil"/>
                <w:right w:val="nil"/>
                <w:between w:val="nil"/>
              </w:pBdr>
              <w:spacing w:line="276" w:lineRule="auto"/>
              <w:rPr>
                <w:rFonts w:ascii="Arial" w:eastAsia="Arial" w:hAnsi="Arial" w:cs="Arial"/>
                <w:sz w:val="24"/>
                <w:szCs w:val="24"/>
              </w:rPr>
            </w:pPr>
          </w:p>
          <w:p w:rsidR="0023288B" w:rsidRDefault="0023288B">
            <w:pPr>
              <w:spacing w:line="276" w:lineRule="auto"/>
              <w:jc w:val="both"/>
              <w:rPr>
                <w:rFonts w:ascii="Arial" w:eastAsia="Arial" w:hAnsi="Arial" w:cs="Arial"/>
                <w:sz w:val="24"/>
                <w:szCs w:val="24"/>
              </w:rPr>
            </w:pPr>
          </w:p>
        </w:tc>
      </w:tr>
    </w:tbl>
    <w:p w:rsidR="0023288B" w:rsidRDefault="0023288B">
      <w:pPr>
        <w:spacing w:after="0" w:line="276" w:lineRule="auto"/>
        <w:jc w:val="both"/>
        <w:rPr>
          <w:rFonts w:ascii="Arial" w:eastAsia="Arial" w:hAnsi="Arial" w:cs="Arial"/>
          <w:sz w:val="24"/>
          <w:szCs w:val="24"/>
        </w:rPr>
      </w:pPr>
    </w:p>
    <w:p w:rsidR="0023288B" w:rsidRDefault="0023288B">
      <w:pPr>
        <w:spacing w:line="276" w:lineRule="auto"/>
        <w:jc w:val="both"/>
        <w:rPr>
          <w:rFonts w:ascii="Arial" w:eastAsia="Arial" w:hAnsi="Arial" w:cs="Arial"/>
          <w:b/>
          <w:sz w:val="24"/>
          <w:szCs w:val="24"/>
          <w:shd w:val="clear" w:color="auto" w:fill="FF9900"/>
        </w:rPr>
      </w:pPr>
    </w:p>
    <w:p w:rsidR="0023288B" w:rsidRDefault="00A0095D">
      <w:pPr>
        <w:spacing w:line="276" w:lineRule="auto"/>
        <w:jc w:val="center"/>
        <w:rPr>
          <w:rFonts w:ascii="Arial" w:eastAsia="Arial" w:hAnsi="Arial" w:cs="Arial"/>
          <w:b/>
          <w:sz w:val="24"/>
          <w:szCs w:val="24"/>
        </w:rPr>
      </w:pPr>
      <w:r>
        <w:rPr>
          <w:rFonts w:ascii="Arial" w:eastAsia="Arial" w:hAnsi="Arial" w:cs="Arial"/>
          <w:b/>
          <w:sz w:val="24"/>
          <w:szCs w:val="24"/>
        </w:rPr>
        <w:t xml:space="preserve">IX. TEXTO PROPUESTO PARA PRIMER DEBATE CON MODIFICACIONES </w:t>
      </w:r>
    </w:p>
    <w:p w:rsidR="0023288B" w:rsidRDefault="00A0095D">
      <w:pPr>
        <w:spacing w:line="276" w:lineRule="auto"/>
        <w:jc w:val="center"/>
        <w:rPr>
          <w:rFonts w:ascii="Arial" w:eastAsia="Arial" w:hAnsi="Arial" w:cs="Arial"/>
          <w:b/>
          <w:sz w:val="24"/>
          <w:szCs w:val="24"/>
        </w:rPr>
      </w:pPr>
      <w:r>
        <w:rPr>
          <w:rFonts w:ascii="Arial" w:eastAsia="Arial" w:hAnsi="Arial" w:cs="Arial"/>
          <w:b/>
          <w:sz w:val="24"/>
          <w:szCs w:val="24"/>
        </w:rPr>
        <w:t>Proyecto de Acuerdo Nº 465 de 2025</w:t>
      </w:r>
    </w:p>
    <w:p w:rsidR="0023288B" w:rsidRDefault="00A0095D">
      <w:pPr>
        <w:spacing w:after="0" w:line="276" w:lineRule="auto"/>
        <w:jc w:val="center"/>
        <w:rPr>
          <w:rFonts w:ascii="Times New Roman" w:eastAsia="Times New Roman" w:hAnsi="Times New Roman" w:cs="Times New Roman"/>
          <w:b/>
          <w:sz w:val="24"/>
          <w:szCs w:val="24"/>
        </w:rPr>
      </w:pPr>
      <w:r>
        <w:rPr>
          <w:rFonts w:ascii="Arial" w:eastAsia="Arial" w:hAnsi="Arial" w:cs="Arial"/>
          <w:b/>
          <w:sz w:val="24"/>
          <w:szCs w:val="24"/>
        </w:rPr>
        <w:t>“POR MEDIO DEL CUAL SE FOMENTA LA LECTURA EN LAS INSTITUCIONES EDUCATIVAS DISTRITALES A TRAVÉS DEL DÍA DE LA LECTURA”</w:t>
      </w:r>
    </w:p>
    <w:p w:rsidR="0023288B" w:rsidRDefault="0023288B">
      <w:pPr>
        <w:spacing w:after="0" w:line="276" w:lineRule="auto"/>
        <w:rPr>
          <w:rFonts w:ascii="Times New Roman" w:eastAsia="Times New Roman" w:hAnsi="Times New Roman" w:cs="Times New Roman"/>
          <w:sz w:val="24"/>
          <w:szCs w:val="24"/>
        </w:rPr>
      </w:pPr>
    </w:p>
    <w:p w:rsidR="0023288B" w:rsidRDefault="00A0095D">
      <w:pPr>
        <w:shd w:val="clear" w:color="auto" w:fill="FFFFFF"/>
        <w:spacing w:after="0" w:line="276" w:lineRule="auto"/>
        <w:jc w:val="center"/>
        <w:rPr>
          <w:rFonts w:ascii="Times New Roman" w:eastAsia="Times New Roman" w:hAnsi="Times New Roman" w:cs="Times New Roman"/>
          <w:sz w:val="24"/>
          <w:szCs w:val="24"/>
        </w:rPr>
      </w:pPr>
      <w:r>
        <w:rPr>
          <w:rFonts w:ascii="Arial" w:eastAsia="Arial" w:hAnsi="Arial" w:cs="Arial"/>
          <w:b/>
          <w:color w:val="000000"/>
          <w:sz w:val="24"/>
          <w:szCs w:val="24"/>
        </w:rPr>
        <w:t>EL CONCEJO DE BOGOTÁ D. C.</w:t>
      </w:r>
    </w:p>
    <w:p w:rsidR="0023288B" w:rsidRDefault="00A0095D">
      <w:pPr>
        <w:shd w:val="clear" w:color="auto" w:fill="FFFFFF"/>
        <w:spacing w:after="0" w:line="276" w:lineRule="auto"/>
        <w:jc w:val="center"/>
        <w:rPr>
          <w:rFonts w:ascii="Times New Roman" w:eastAsia="Times New Roman" w:hAnsi="Times New Roman" w:cs="Times New Roman"/>
          <w:sz w:val="24"/>
          <w:szCs w:val="24"/>
        </w:rPr>
      </w:pPr>
      <w:r>
        <w:rPr>
          <w:rFonts w:ascii="Arial" w:eastAsia="Arial" w:hAnsi="Arial" w:cs="Arial"/>
          <w:b/>
          <w:i/>
          <w:color w:val="000000"/>
          <w:sz w:val="24"/>
          <w:szCs w:val="24"/>
        </w:rPr>
        <w:lastRenderedPageBreak/>
        <w:t>  </w:t>
      </w:r>
    </w:p>
    <w:p w:rsidR="0023288B" w:rsidRDefault="00A0095D">
      <w:pPr>
        <w:shd w:val="clear" w:color="auto" w:fill="FFFFFF"/>
        <w:spacing w:after="0" w:line="276" w:lineRule="auto"/>
        <w:jc w:val="center"/>
        <w:rPr>
          <w:rFonts w:ascii="Times New Roman" w:eastAsia="Times New Roman" w:hAnsi="Times New Roman" w:cs="Times New Roman"/>
          <w:sz w:val="24"/>
          <w:szCs w:val="24"/>
        </w:rPr>
      </w:pPr>
      <w:r>
        <w:rPr>
          <w:rFonts w:ascii="Arial" w:eastAsia="Arial" w:hAnsi="Arial" w:cs="Arial"/>
          <w:i/>
          <w:color w:val="000000"/>
          <w:sz w:val="24"/>
          <w:szCs w:val="24"/>
        </w:rPr>
        <w:t>En ejercicio de sus atribuciones constitucionales y legales, en especial de las que le confiere el numeral 1º y 25 del artículo 12 del Decreto – Ley 1421 de 1993.</w:t>
      </w:r>
    </w:p>
    <w:p w:rsidR="0023288B" w:rsidRDefault="0023288B">
      <w:pPr>
        <w:spacing w:after="0" w:line="276" w:lineRule="auto"/>
        <w:rPr>
          <w:rFonts w:ascii="Times New Roman" w:eastAsia="Times New Roman" w:hAnsi="Times New Roman" w:cs="Times New Roman"/>
          <w:sz w:val="24"/>
          <w:szCs w:val="24"/>
        </w:rPr>
      </w:pPr>
    </w:p>
    <w:p w:rsidR="0023288B" w:rsidRDefault="00A0095D">
      <w:pPr>
        <w:spacing w:after="0" w:line="276" w:lineRule="auto"/>
        <w:jc w:val="center"/>
        <w:rPr>
          <w:rFonts w:ascii="Times New Roman" w:eastAsia="Times New Roman" w:hAnsi="Times New Roman" w:cs="Times New Roman"/>
          <w:sz w:val="24"/>
          <w:szCs w:val="24"/>
        </w:rPr>
      </w:pPr>
      <w:r>
        <w:rPr>
          <w:rFonts w:ascii="Arial" w:eastAsia="Arial" w:hAnsi="Arial" w:cs="Arial"/>
          <w:b/>
          <w:color w:val="000000"/>
          <w:sz w:val="24"/>
          <w:szCs w:val="24"/>
        </w:rPr>
        <w:t>ACUERDA</w:t>
      </w:r>
    </w:p>
    <w:p w:rsidR="0023288B" w:rsidRDefault="0023288B">
      <w:pPr>
        <w:spacing w:after="0" w:line="276" w:lineRule="auto"/>
        <w:rPr>
          <w:rFonts w:ascii="Times New Roman" w:eastAsia="Times New Roman" w:hAnsi="Times New Roman" w:cs="Times New Roman"/>
          <w:sz w:val="24"/>
          <w:szCs w:val="24"/>
        </w:rPr>
      </w:pPr>
    </w:p>
    <w:p w:rsidR="0023288B" w:rsidRDefault="00A0095D">
      <w:pPr>
        <w:spacing w:after="0" w:line="276" w:lineRule="auto"/>
        <w:jc w:val="both"/>
        <w:rPr>
          <w:rFonts w:ascii="Arial" w:eastAsia="Arial" w:hAnsi="Arial" w:cs="Arial"/>
          <w:sz w:val="24"/>
          <w:szCs w:val="24"/>
        </w:rPr>
      </w:pPr>
      <w:r>
        <w:rPr>
          <w:rFonts w:ascii="Arial" w:eastAsia="Arial" w:hAnsi="Arial" w:cs="Arial"/>
          <w:b/>
          <w:color w:val="000000"/>
          <w:sz w:val="24"/>
          <w:szCs w:val="24"/>
        </w:rPr>
        <w:t xml:space="preserve">ARTÍCULO </w:t>
      </w:r>
      <w:r>
        <w:rPr>
          <w:rFonts w:ascii="Arial" w:eastAsia="Arial" w:hAnsi="Arial" w:cs="Arial"/>
          <w:b/>
          <w:sz w:val="24"/>
          <w:szCs w:val="24"/>
        </w:rPr>
        <w:t>1</w:t>
      </w:r>
      <w:r>
        <w:rPr>
          <w:rFonts w:ascii="Arial" w:eastAsia="Arial" w:hAnsi="Arial" w:cs="Arial"/>
          <w:b/>
          <w:color w:val="000000"/>
          <w:sz w:val="24"/>
          <w:szCs w:val="24"/>
        </w:rPr>
        <w:t xml:space="preserve">. </w:t>
      </w:r>
      <w:r>
        <w:rPr>
          <w:rFonts w:ascii="Arial" w:eastAsia="Arial" w:hAnsi="Arial" w:cs="Arial"/>
          <w:b/>
          <w:sz w:val="24"/>
          <w:szCs w:val="24"/>
        </w:rPr>
        <w:t xml:space="preserve">OBJETO. </w:t>
      </w:r>
      <w:r>
        <w:rPr>
          <w:rFonts w:ascii="Arial" w:eastAsia="Arial" w:hAnsi="Arial" w:cs="Arial"/>
          <w:sz w:val="24"/>
          <w:szCs w:val="24"/>
        </w:rPr>
        <w:t xml:space="preserve">Establecer el día 6 de marzo como el </w:t>
      </w:r>
      <w:r>
        <w:rPr>
          <w:rFonts w:ascii="Arial" w:eastAsia="Arial" w:hAnsi="Arial" w:cs="Arial"/>
          <w:i/>
          <w:sz w:val="24"/>
          <w:szCs w:val="24"/>
        </w:rPr>
        <w:t xml:space="preserve">“Día de </w:t>
      </w:r>
      <w:r>
        <w:rPr>
          <w:rFonts w:ascii="Arial" w:eastAsia="Arial" w:hAnsi="Arial" w:cs="Arial"/>
          <w:sz w:val="24"/>
          <w:szCs w:val="24"/>
        </w:rPr>
        <w:t>fomento</w:t>
      </w:r>
      <w:r>
        <w:rPr>
          <w:rFonts w:ascii="Arial" w:eastAsia="Arial" w:hAnsi="Arial" w:cs="Arial"/>
          <w:i/>
          <w:sz w:val="24"/>
          <w:szCs w:val="24"/>
        </w:rPr>
        <w:t xml:space="preserve"> de la lectura”</w:t>
      </w:r>
      <w:r>
        <w:rPr>
          <w:rFonts w:ascii="Arial" w:eastAsia="Arial" w:hAnsi="Arial" w:cs="Arial"/>
          <w:sz w:val="24"/>
          <w:szCs w:val="24"/>
        </w:rPr>
        <w:t xml:space="preserve">, en las instituciones educativas del distrito (I.E.D.) con la intención de cultivar este hábito para el desarrollo de habilidades de las y los estudiantes. </w:t>
      </w:r>
    </w:p>
    <w:p w:rsidR="0023288B" w:rsidRDefault="0023288B">
      <w:pPr>
        <w:spacing w:after="0" w:line="276" w:lineRule="auto"/>
        <w:jc w:val="both"/>
        <w:rPr>
          <w:rFonts w:ascii="Arial" w:eastAsia="Arial" w:hAnsi="Arial" w:cs="Arial"/>
          <w:sz w:val="24"/>
          <w:szCs w:val="24"/>
        </w:rPr>
      </w:pPr>
    </w:p>
    <w:p w:rsidR="0023288B" w:rsidRDefault="00A0095D">
      <w:pPr>
        <w:tabs>
          <w:tab w:val="left" w:pos="1560"/>
        </w:tabs>
        <w:spacing w:after="240" w:line="276" w:lineRule="auto"/>
        <w:jc w:val="both"/>
        <w:rPr>
          <w:rFonts w:ascii="Arial" w:eastAsia="Arial" w:hAnsi="Arial" w:cs="Arial"/>
          <w:sz w:val="24"/>
          <w:szCs w:val="24"/>
        </w:rPr>
      </w:pPr>
      <w:r>
        <w:rPr>
          <w:rFonts w:ascii="Arial" w:eastAsia="Arial" w:hAnsi="Arial" w:cs="Arial"/>
          <w:b/>
          <w:sz w:val="24"/>
          <w:szCs w:val="24"/>
        </w:rPr>
        <w:t xml:space="preserve">ARTÍCULO 2. APLICACIÓN. </w:t>
      </w:r>
      <w:r>
        <w:rPr>
          <w:rFonts w:ascii="Arial" w:eastAsia="Arial" w:hAnsi="Arial" w:cs="Arial"/>
          <w:sz w:val="24"/>
          <w:szCs w:val="24"/>
        </w:rPr>
        <w:t>La Secretaría de Educación, en articulación con las autoridades educativas competentes, dispondrá que, por lo menos una vez por semestre, las instituciones educativas distritales (I.E.D.) programen un día destinado exclusivamente a la lectura de obras de libre elección por parte de los estudiantes.</w:t>
      </w:r>
    </w:p>
    <w:p w:rsidR="0023288B" w:rsidRDefault="00A0095D">
      <w:pPr>
        <w:spacing w:after="0" w:line="276" w:lineRule="auto"/>
        <w:jc w:val="both"/>
        <w:rPr>
          <w:rFonts w:ascii="Arial" w:eastAsia="Arial" w:hAnsi="Arial" w:cs="Arial"/>
          <w:sz w:val="24"/>
          <w:szCs w:val="24"/>
        </w:rPr>
      </w:pPr>
      <w:r>
        <w:rPr>
          <w:rFonts w:ascii="Arial" w:eastAsia="Arial" w:hAnsi="Arial" w:cs="Arial"/>
          <w:b/>
          <w:sz w:val="24"/>
          <w:szCs w:val="24"/>
        </w:rPr>
        <w:t>ARTÍCULO 3. COOPERACIÓN.</w:t>
      </w:r>
      <w:r>
        <w:rPr>
          <w:rFonts w:ascii="Arial" w:eastAsia="Arial" w:hAnsi="Arial" w:cs="Arial"/>
          <w:sz w:val="24"/>
          <w:szCs w:val="24"/>
        </w:rPr>
        <w:t xml:space="preserve"> En el desarrollo del principio de colaboración armónica entre entidades públicas, la Administración Distrital, podrá celebrar convenios interadministrativos y/o alianzas con el sector privado, para garantizar que las jornadas semestrales  cuenten con una oferta literaria y actividades innovadoras que motive a los estudiantes a cultivar el hábito de la lectura. </w:t>
      </w:r>
    </w:p>
    <w:p w:rsidR="0023288B" w:rsidRDefault="0023288B">
      <w:pPr>
        <w:spacing w:after="0" w:line="276" w:lineRule="auto"/>
        <w:jc w:val="both"/>
        <w:rPr>
          <w:rFonts w:ascii="Arial" w:eastAsia="Arial" w:hAnsi="Arial" w:cs="Arial"/>
          <w:sz w:val="24"/>
          <w:szCs w:val="24"/>
        </w:rPr>
      </w:pPr>
    </w:p>
    <w:p w:rsidR="0023288B" w:rsidRDefault="00A0095D">
      <w:pPr>
        <w:tabs>
          <w:tab w:val="left" w:pos="1560"/>
        </w:tabs>
        <w:spacing w:after="240" w:line="276" w:lineRule="auto"/>
        <w:jc w:val="both"/>
        <w:rPr>
          <w:rFonts w:ascii="Arial" w:eastAsia="Arial" w:hAnsi="Arial" w:cs="Arial"/>
          <w:sz w:val="24"/>
          <w:szCs w:val="24"/>
        </w:rPr>
      </w:pPr>
      <w:r>
        <w:rPr>
          <w:rFonts w:ascii="Arial" w:eastAsia="Arial" w:hAnsi="Arial" w:cs="Arial"/>
          <w:b/>
          <w:sz w:val="24"/>
          <w:szCs w:val="24"/>
        </w:rPr>
        <w:t xml:space="preserve">ARTÍCULO </w:t>
      </w:r>
      <w:r>
        <w:rPr>
          <w:rFonts w:ascii="Arial" w:eastAsia="Arial" w:hAnsi="Arial" w:cs="Arial"/>
          <w:b/>
          <w:strike/>
          <w:sz w:val="24"/>
          <w:szCs w:val="24"/>
        </w:rPr>
        <w:t>4</w:t>
      </w:r>
      <w:r>
        <w:rPr>
          <w:rFonts w:ascii="Arial" w:eastAsia="Arial" w:hAnsi="Arial" w:cs="Arial"/>
          <w:b/>
          <w:sz w:val="24"/>
          <w:szCs w:val="24"/>
        </w:rPr>
        <w:t xml:space="preserve">. VIGENCIA. </w:t>
      </w:r>
      <w:r>
        <w:rPr>
          <w:rFonts w:ascii="Arial" w:eastAsia="Arial" w:hAnsi="Arial" w:cs="Arial"/>
          <w:sz w:val="24"/>
          <w:szCs w:val="24"/>
        </w:rPr>
        <w:t>El presente Acuerdo rige a partir de la fecha de su publicación.</w:t>
      </w:r>
    </w:p>
    <w:p w:rsidR="0023288B" w:rsidRDefault="0023288B">
      <w:pPr>
        <w:tabs>
          <w:tab w:val="left" w:pos="1560"/>
        </w:tabs>
        <w:spacing w:after="240" w:line="276" w:lineRule="auto"/>
        <w:jc w:val="both"/>
        <w:rPr>
          <w:rFonts w:ascii="Arial" w:eastAsia="Arial" w:hAnsi="Arial" w:cs="Arial"/>
          <w:sz w:val="24"/>
          <w:szCs w:val="24"/>
        </w:rPr>
      </w:pPr>
    </w:p>
    <w:sectPr w:rsidR="0023288B">
      <w:headerReference w:type="default" r:id="rId15"/>
      <w:pgSz w:w="12240" w:h="15840"/>
      <w:pgMar w:top="1417" w:right="1701" w:bottom="1417" w:left="1701"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17C8C" w:rsidRDefault="00A0095D">
      <w:pPr>
        <w:spacing w:after="0" w:line="240" w:lineRule="auto"/>
      </w:pPr>
      <w:r>
        <w:separator/>
      </w:r>
    </w:p>
  </w:endnote>
  <w:endnote w:type="continuationSeparator" w:id="0">
    <w:p w:rsidR="00717C8C" w:rsidRDefault="00A009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17C8C" w:rsidRDefault="00A0095D">
      <w:pPr>
        <w:spacing w:after="0" w:line="240" w:lineRule="auto"/>
      </w:pPr>
      <w:r>
        <w:separator/>
      </w:r>
    </w:p>
  </w:footnote>
  <w:footnote w:type="continuationSeparator" w:id="0">
    <w:p w:rsidR="00717C8C" w:rsidRDefault="00A0095D">
      <w:pPr>
        <w:spacing w:after="0" w:line="240" w:lineRule="auto"/>
      </w:pPr>
      <w:r>
        <w:continuationSeparator/>
      </w:r>
    </w:p>
  </w:footnote>
  <w:footnote w:id="1">
    <w:p w:rsidR="0023288B" w:rsidRDefault="00A0095D">
      <w:pPr>
        <w:spacing w:after="0" w:line="240" w:lineRule="auto"/>
        <w:rPr>
          <w:rFonts w:ascii="Arial" w:eastAsia="Arial" w:hAnsi="Arial" w:cs="Arial"/>
          <w:sz w:val="20"/>
          <w:szCs w:val="20"/>
        </w:rPr>
      </w:pPr>
      <w:r>
        <w:rPr>
          <w:vertAlign w:val="superscript"/>
        </w:rPr>
        <w:footnoteRef/>
      </w:r>
      <w:r>
        <w:rPr>
          <w:rFonts w:ascii="Arial" w:eastAsia="Arial" w:hAnsi="Arial" w:cs="Arial"/>
          <w:sz w:val="20"/>
          <w:szCs w:val="20"/>
        </w:rPr>
        <w:t xml:space="preserve"> Informe Jóvenes en línea. Ciudadanía digital en niños, niñas y jóvenes de la generación z en Colombia.</w:t>
      </w:r>
    </w:p>
    <w:p w:rsidR="0023288B" w:rsidRDefault="0023288B">
      <w:pPr>
        <w:spacing w:after="0" w:line="240" w:lineRule="auto"/>
        <w:rPr>
          <w:rFonts w:ascii="Arial" w:eastAsia="Arial" w:hAnsi="Arial" w:cs="Arial"/>
          <w:sz w:val="20"/>
          <w:szCs w:val="20"/>
        </w:rPr>
      </w:pPr>
    </w:p>
  </w:footnote>
  <w:footnote w:id="2">
    <w:p w:rsidR="0023288B" w:rsidRDefault="00A0095D">
      <w:pPr>
        <w:spacing w:after="0" w:line="240" w:lineRule="auto"/>
        <w:rPr>
          <w:rFonts w:ascii="Arial" w:eastAsia="Arial" w:hAnsi="Arial" w:cs="Arial"/>
          <w:sz w:val="20"/>
          <w:szCs w:val="20"/>
        </w:rPr>
      </w:pPr>
      <w:r>
        <w:rPr>
          <w:vertAlign w:val="superscript"/>
        </w:rPr>
        <w:footnoteRef/>
      </w:r>
      <w:r>
        <w:rPr>
          <w:rFonts w:ascii="Arial" w:eastAsia="Arial" w:hAnsi="Arial" w:cs="Arial"/>
          <w:sz w:val="20"/>
          <w:szCs w:val="20"/>
        </w:rPr>
        <w:t xml:space="preserve"> Encuesta Nacional de Calidad de Vida – ECV-2022.</w:t>
      </w:r>
    </w:p>
  </w:footnote>
  <w:footnote w:id="3">
    <w:p w:rsidR="0023288B" w:rsidRDefault="00A0095D">
      <w:pPr>
        <w:spacing w:after="0" w:line="240" w:lineRule="auto"/>
        <w:jc w:val="both"/>
        <w:rPr>
          <w:rFonts w:ascii="Arial" w:eastAsia="Arial" w:hAnsi="Arial" w:cs="Arial"/>
          <w:sz w:val="20"/>
          <w:szCs w:val="20"/>
        </w:rPr>
      </w:pPr>
      <w:r>
        <w:rPr>
          <w:vertAlign w:val="superscript"/>
        </w:rPr>
        <w:footnoteRef/>
      </w:r>
      <w:r>
        <w:rPr>
          <w:rFonts w:ascii="Arial" w:eastAsia="Arial" w:hAnsi="Arial" w:cs="Arial"/>
          <w:sz w:val="24"/>
          <w:szCs w:val="24"/>
        </w:rPr>
        <w:t xml:space="preserve"> </w:t>
      </w:r>
      <w:r>
        <w:rPr>
          <w:rFonts w:ascii="Arial" w:eastAsia="Arial" w:hAnsi="Arial" w:cs="Arial"/>
          <w:sz w:val="20"/>
          <w:szCs w:val="20"/>
        </w:rPr>
        <w:t>Análisis de resultados Examen Saber 11 2023. Fundación Empresarios por la Educación.</w:t>
      </w:r>
    </w:p>
  </w:footnote>
  <w:footnote w:id="4">
    <w:p w:rsidR="0023288B" w:rsidRDefault="00A0095D">
      <w:pPr>
        <w:spacing w:after="0" w:line="240" w:lineRule="auto"/>
        <w:jc w:val="both"/>
        <w:rPr>
          <w:rFonts w:ascii="Arial" w:eastAsia="Arial" w:hAnsi="Arial" w:cs="Arial"/>
          <w:sz w:val="20"/>
          <w:szCs w:val="20"/>
        </w:rPr>
      </w:pPr>
      <w:r>
        <w:rPr>
          <w:vertAlign w:val="superscript"/>
        </w:rPr>
        <w:footnoteRef/>
      </w:r>
      <w:r>
        <w:rPr>
          <w:rFonts w:ascii="Arial" w:eastAsia="Arial" w:hAnsi="Arial" w:cs="Arial"/>
          <w:sz w:val="24"/>
          <w:szCs w:val="24"/>
        </w:rPr>
        <w:t xml:space="preserve"> </w:t>
      </w:r>
      <w:r>
        <w:rPr>
          <w:rFonts w:ascii="Arial" w:eastAsia="Arial" w:hAnsi="Arial" w:cs="Arial"/>
          <w:sz w:val="20"/>
          <w:szCs w:val="20"/>
        </w:rPr>
        <w:t>Niños y jóvenes no leen libros fuera de la jornada escolar. Pontificia Universidad Javeriana.</w:t>
      </w:r>
    </w:p>
  </w:footnote>
  <w:footnote w:id="5">
    <w:p w:rsidR="0023288B" w:rsidRDefault="00A0095D">
      <w:pPr>
        <w:spacing w:after="0" w:line="240" w:lineRule="auto"/>
        <w:rPr>
          <w:rFonts w:ascii="Arial" w:eastAsia="Arial" w:hAnsi="Arial" w:cs="Arial"/>
          <w:sz w:val="20"/>
          <w:szCs w:val="20"/>
        </w:rPr>
      </w:pPr>
      <w:r>
        <w:rPr>
          <w:vertAlign w:val="superscript"/>
        </w:rPr>
        <w:footnoteRef/>
      </w:r>
      <w:r>
        <w:rPr>
          <w:rFonts w:ascii="Arial" w:eastAsia="Arial" w:hAnsi="Arial" w:cs="Arial"/>
          <w:sz w:val="20"/>
          <w:szCs w:val="20"/>
        </w:rPr>
        <w:t xml:space="preserve"> Política Pública “LEO” 2022 – 2040.</w:t>
      </w:r>
    </w:p>
    <w:p w:rsidR="0023288B" w:rsidRDefault="0023288B">
      <w:pPr>
        <w:spacing w:after="0" w:line="240" w:lineRule="auto"/>
        <w:rPr>
          <w:rFonts w:ascii="Arial" w:eastAsia="Arial" w:hAnsi="Arial" w:cs="Arial"/>
          <w:sz w:val="20"/>
          <w:szCs w:val="20"/>
        </w:rPr>
      </w:pPr>
    </w:p>
  </w:footnote>
  <w:footnote w:id="6">
    <w:p w:rsidR="0023288B" w:rsidRDefault="00A0095D">
      <w:pPr>
        <w:spacing w:after="0" w:line="240" w:lineRule="auto"/>
        <w:rPr>
          <w:sz w:val="20"/>
          <w:szCs w:val="20"/>
        </w:rPr>
      </w:pPr>
      <w:r>
        <w:rPr>
          <w:vertAlign w:val="superscript"/>
        </w:rPr>
        <w:footnoteRef/>
      </w:r>
      <w:r>
        <w:rPr>
          <w:sz w:val="20"/>
          <w:szCs w:val="20"/>
        </w:rPr>
        <w:t xml:space="preserve"> Competencias según nivel de desempeño (pág. 29). Disponible en: </w:t>
      </w:r>
      <w:hyperlink r:id="rId1">
        <w:r>
          <w:rPr>
            <w:color w:val="1155CC"/>
            <w:sz w:val="20"/>
            <w:szCs w:val="20"/>
            <w:u w:val="single"/>
          </w:rPr>
          <w:t>https://www.javeriana.edu.co/recursosdb/d/lee/inf-114-informe-saber-11-2025-lee</w:t>
        </w:r>
      </w:hyperlink>
      <w:r>
        <w:rPr>
          <w:sz w:val="20"/>
          <w:szCs w:val="20"/>
        </w:rPr>
        <w:t xml:space="preserve"> </w:t>
      </w:r>
    </w:p>
  </w:footnote>
  <w:footnote w:id="7">
    <w:p w:rsidR="0023288B" w:rsidRDefault="00A0095D">
      <w:pPr>
        <w:spacing w:after="0" w:line="240" w:lineRule="auto"/>
        <w:rPr>
          <w:sz w:val="20"/>
          <w:szCs w:val="20"/>
        </w:rPr>
      </w:pPr>
      <w:r>
        <w:rPr>
          <w:vertAlign w:val="superscript"/>
        </w:rPr>
        <w:footnoteRef/>
      </w:r>
      <w:r>
        <w:rPr>
          <w:sz w:val="20"/>
          <w:szCs w:val="20"/>
        </w:rPr>
        <w:t xml:space="preserve"> El 30% de los encuestados pertenece al grupo poblacional de adolescentes y jóvenes entre 13 y 28 años.</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288B" w:rsidRDefault="0023288B">
    <w:pPr>
      <w:widowControl w:val="0"/>
      <w:pBdr>
        <w:top w:val="nil"/>
        <w:left w:val="nil"/>
        <w:bottom w:val="nil"/>
        <w:right w:val="nil"/>
        <w:between w:val="nil"/>
      </w:pBdr>
      <w:spacing w:after="0" w:line="276" w:lineRule="auto"/>
      <w:jc w:val="center"/>
      <w:rPr>
        <w:rFonts w:ascii="Arial" w:eastAsia="Arial" w:hAnsi="Arial" w:cs="Arial"/>
        <w:b/>
        <w:color w:val="000000"/>
      </w:rPr>
    </w:pPr>
  </w:p>
  <w:tbl>
    <w:tblPr>
      <w:tblStyle w:val="af5"/>
      <w:tblW w:w="8830"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361"/>
      <w:gridCol w:w="4235"/>
      <w:gridCol w:w="2234"/>
    </w:tblGrid>
    <w:tr w:rsidR="0023288B">
      <w:trPr>
        <w:trHeight w:val="440"/>
      </w:trPr>
      <w:tc>
        <w:tcPr>
          <w:tcW w:w="2361" w:type="dxa"/>
          <w:vMerge w:val="restart"/>
          <w:vAlign w:val="center"/>
        </w:tcPr>
        <w:p w:rsidR="0023288B" w:rsidRDefault="00A0095D">
          <w:pPr>
            <w:spacing w:line="276" w:lineRule="auto"/>
            <w:jc w:val="center"/>
            <w:rPr>
              <w:rFonts w:ascii="Arial" w:eastAsia="Arial" w:hAnsi="Arial" w:cs="Arial"/>
              <w:b/>
              <w:sz w:val="16"/>
              <w:szCs w:val="16"/>
            </w:rPr>
          </w:pPr>
          <w:r>
            <w:rPr>
              <w:rFonts w:ascii="Arial" w:eastAsia="Arial" w:hAnsi="Arial" w:cs="Arial"/>
              <w:b/>
              <w:noProof/>
              <w:sz w:val="16"/>
              <w:szCs w:val="16"/>
              <w:lang w:val="es-419"/>
            </w:rPr>
            <w:drawing>
              <wp:inline distT="0" distB="0" distL="0" distR="0">
                <wp:extent cx="749935" cy="883920"/>
                <wp:effectExtent l="0" t="0" r="0" b="0"/>
                <wp:docPr id="1754932530"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749935" cy="883920"/>
                        </a:xfrm>
                        <a:prstGeom prst="rect">
                          <a:avLst/>
                        </a:prstGeom>
                        <a:ln/>
                      </pic:spPr>
                    </pic:pic>
                  </a:graphicData>
                </a:graphic>
              </wp:inline>
            </w:drawing>
          </w:r>
        </w:p>
      </w:tc>
      <w:tc>
        <w:tcPr>
          <w:tcW w:w="4235" w:type="dxa"/>
          <w:vAlign w:val="center"/>
        </w:tcPr>
        <w:p w:rsidR="0023288B" w:rsidRDefault="00A0095D">
          <w:pPr>
            <w:spacing w:line="276" w:lineRule="auto"/>
            <w:jc w:val="center"/>
            <w:rPr>
              <w:rFonts w:ascii="Arial" w:eastAsia="Arial" w:hAnsi="Arial" w:cs="Arial"/>
              <w:sz w:val="18"/>
              <w:szCs w:val="18"/>
            </w:rPr>
          </w:pPr>
          <w:r>
            <w:rPr>
              <w:rFonts w:ascii="Arial" w:eastAsia="Arial" w:hAnsi="Arial" w:cs="Arial"/>
              <w:sz w:val="18"/>
              <w:szCs w:val="18"/>
            </w:rPr>
            <w:t>PROCESO GESTIÓN NORMATIVA</w:t>
          </w:r>
        </w:p>
      </w:tc>
      <w:tc>
        <w:tcPr>
          <w:tcW w:w="2234" w:type="dxa"/>
          <w:vAlign w:val="center"/>
        </w:tcPr>
        <w:p w:rsidR="0023288B" w:rsidRDefault="00A0095D">
          <w:pPr>
            <w:spacing w:line="276" w:lineRule="auto"/>
            <w:jc w:val="center"/>
            <w:rPr>
              <w:rFonts w:ascii="Arial" w:eastAsia="Arial" w:hAnsi="Arial" w:cs="Arial"/>
              <w:sz w:val="16"/>
              <w:szCs w:val="16"/>
            </w:rPr>
          </w:pPr>
          <w:r>
            <w:rPr>
              <w:rFonts w:ascii="Arial" w:eastAsia="Arial" w:hAnsi="Arial" w:cs="Arial"/>
              <w:sz w:val="16"/>
              <w:szCs w:val="16"/>
            </w:rPr>
            <w:t>CÓDIGO</w:t>
          </w:r>
          <w:r>
            <w:rPr>
              <w:rFonts w:ascii="Arial" w:eastAsia="Arial" w:hAnsi="Arial" w:cs="Arial"/>
              <w:color w:val="3366FF"/>
              <w:sz w:val="16"/>
              <w:szCs w:val="16"/>
            </w:rPr>
            <w:t xml:space="preserve">: </w:t>
          </w:r>
          <w:r>
            <w:rPr>
              <w:rFonts w:ascii="Arial" w:eastAsia="Arial" w:hAnsi="Arial" w:cs="Arial"/>
              <w:sz w:val="16"/>
              <w:szCs w:val="16"/>
            </w:rPr>
            <w:t>GN-PR001- FO2</w:t>
          </w:r>
        </w:p>
      </w:tc>
    </w:tr>
    <w:tr w:rsidR="0023288B">
      <w:trPr>
        <w:trHeight w:val="440"/>
      </w:trPr>
      <w:tc>
        <w:tcPr>
          <w:tcW w:w="2361" w:type="dxa"/>
          <w:vMerge/>
          <w:vAlign w:val="center"/>
        </w:tcPr>
        <w:p w:rsidR="0023288B" w:rsidRDefault="0023288B">
          <w:pPr>
            <w:widowControl w:val="0"/>
            <w:pBdr>
              <w:top w:val="nil"/>
              <w:left w:val="nil"/>
              <w:bottom w:val="nil"/>
              <w:right w:val="nil"/>
              <w:between w:val="nil"/>
            </w:pBdr>
            <w:spacing w:line="276" w:lineRule="auto"/>
            <w:rPr>
              <w:rFonts w:ascii="Arial" w:eastAsia="Arial" w:hAnsi="Arial" w:cs="Arial"/>
              <w:sz w:val="16"/>
              <w:szCs w:val="16"/>
            </w:rPr>
          </w:pPr>
        </w:p>
      </w:tc>
      <w:tc>
        <w:tcPr>
          <w:tcW w:w="4235" w:type="dxa"/>
          <w:vMerge w:val="restart"/>
          <w:vAlign w:val="center"/>
        </w:tcPr>
        <w:p w:rsidR="0023288B" w:rsidRDefault="00A0095D">
          <w:pPr>
            <w:spacing w:line="276" w:lineRule="auto"/>
            <w:jc w:val="center"/>
            <w:rPr>
              <w:rFonts w:ascii="Arial" w:eastAsia="Arial" w:hAnsi="Arial" w:cs="Arial"/>
              <w:sz w:val="20"/>
              <w:szCs w:val="20"/>
            </w:rPr>
          </w:pPr>
          <w:r>
            <w:rPr>
              <w:rFonts w:ascii="Arial" w:eastAsia="Arial" w:hAnsi="Arial" w:cs="Arial"/>
              <w:sz w:val="20"/>
              <w:szCs w:val="20"/>
            </w:rPr>
            <w:t>PRESENTACIÓN PONENCIAS</w:t>
          </w:r>
        </w:p>
      </w:tc>
      <w:tc>
        <w:tcPr>
          <w:tcW w:w="2234" w:type="dxa"/>
          <w:vAlign w:val="center"/>
        </w:tcPr>
        <w:p w:rsidR="0023288B" w:rsidRDefault="00A0095D">
          <w:pPr>
            <w:spacing w:line="276" w:lineRule="auto"/>
            <w:jc w:val="center"/>
            <w:rPr>
              <w:rFonts w:ascii="Arial" w:eastAsia="Arial" w:hAnsi="Arial" w:cs="Arial"/>
              <w:sz w:val="16"/>
              <w:szCs w:val="16"/>
            </w:rPr>
          </w:pPr>
          <w:r>
            <w:rPr>
              <w:rFonts w:ascii="Arial" w:eastAsia="Arial" w:hAnsi="Arial" w:cs="Arial"/>
              <w:sz w:val="16"/>
              <w:szCs w:val="16"/>
            </w:rPr>
            <w:t>VERSIÓN:    01</w:t>
          </w:r>
        </w:p>
      </w:tc>
    </w:tr>
    <w:tr w:rsidR="0023288B">
      <w:trPr>
        <w:trHeight w:val="440"/>
      </w:trPr>
      <w:tc>
        <w:tcPr>
          <w:tcW w:w="2361" w:type="dxa"/>
          <w:vMerge/>
          <w:vAlign w:val="center"/>
        </w:tcPr>
        <w:p w:rsidR="0023288B" w:rsidRDefault="0023288B">
          <w:pPr>
            <w:widowControl w:val="0"/>
            <w:pBdr>
              <w:top w:val="nil"/>
              <w:left w:val="nil"/>
              <w:bottom w:val="nil"/>
              <w:right w:val="nil"/>
              <w:between w:val="nil"/>
            </w:pBdr>
            <w:spacing w:line="276" w:lineRule="auto"/>
            <w:rPr>
              <w:rFonts w:ascii="Arial" w:eastAsia="Arial" w:hAnsi="Arial" w:cs="Arial"/>
              <w:sz w:val="16"/>
              <w:szCs w:val="16"/>
            </w:rPr>
          </w:pPr>
        </w:p>
      </w:tc>
      <w:tc>
        <w:tcPr>
          <w:tcW w:w="4235" w:type="dxa"/>
          <w:vMerge/>
          <w:vAlign w:val="center"/>
        </w:tcPr>
        <w:p w:rsidR="0023288B" w:rsidRDefault="0023288B">
          <w:pPr>
            <w:widowControl w:val="0"/>
            <w:pBdr>
              <w:top w:val="nil"/>
              <w:left w:val="nil"/>
              <w:bottom w:val="nil"/>
              <w:right w:val="nil"/>
              <w:between w:val="nil"/>
            </w:pBdr>
            <w:spacing w:line="276" w:lineRule="auto"/>
            <w:rPr>
              <w:rFonts w:ascii="Arial" w:eastAsia="Arial" w:hAnsi="Arial" w:cs="Arial"/>
              <w:sz w:val="16"/>
              <w:szCs w:val="16"/>
            </w:rPr>
          </w:pPr>
        </w:p>
      </w:tc>
      <w:tc>
        <w:tcPr>
          <w:tcW w:w="2234" w:type="dxa"/>
          <w:vAlign w:val="center"/>
        </w:tcPr>
        <w:p w:rsidR="0023288B" w:rsidRDefault="00A0095D">
          <w:pPr>
            <w:spacing w:line="276" w:lineRule="auto"/>
            <w:jc w:val="center"/>
            <w:rPr>
              <w:rFonts w:ascii="Arial" w:eastAsia="Arial" w:hAnsi="Arial" w:cs="Arial"/>
              <w:sz w:val="16"/>
              <w:szCs w:val="16"/>
            </w:rPr>
          </w:pPr>
          <w:r>
            <w:rPr>
              <w:rFonts w:ascii="Arial" w:eastAsia="Arial" w:hAnsi="Arial" w:cs="Arial"/>
              <w:sz w:val="16"/>
              <w:szCs w:val="16"/>
            </w:rPr>
            <w:t>FECHA: 14-Nov-2019</w:t>
          </w:r>
        </w:p>
      </w:tc>
    </w:tr>
  </w:tbl>
  <w:p w:rsidR="0023288B" w:rsidRDefault="0023288B">
    <w:pPr>
      <w:pBdr>
        <w:top w:val="nil"/>
        <w:left w:val="nil"/>
        <w:bottom w:val="nil"/>
        <w:right w:val="nil"/>
        <w:between w:val="nil"/>
      </w:pBdr>
      <w:tabs>
        <w:tab w:val="center" w:pos="4419"/>
        <w:tab w:val="right" w:pos="8838"/>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B7864"/>
    <w:multiLevelType w:val="multilevel"/>
    <w:tmpl w:val="AA94818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5CA4299"/>
    <w:multiLevelType w:val="multilevel"/>
    <w:tmpl w:val="6C32353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0DED0217"/>
    <w:multiLevelType w:val="multilevel"/>
    <w:tmpl w:val="AF12BEC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110237BF"/>
    <w:multiLevelType w:val="multilevel"/>
    <w:tmpl w:val="CDAA6E5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14D86215"/>
    <w:multiLevelType w:val="multilevel"/>
    <w:tmpl w:val="28A82AA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33A923BA"/>
    <w:multiLevelType w:val="multilevel"/>
    <w:tmpl w:val="A16ACEE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45CB2E44"/>
    <w:multiLevelType w:val="multilevel"/>
    <w:tmpl w:val="3A7C2FB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518E7B9A"/>
    <w:multiLevelType w:val="multilevel"/>
    <w:tmpl w:val="0E60ECE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5A0B1C9B"/>
    <w:multiLevelType w:val="multilevel"/>
    <w:tmpl w:val="5DDA0F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68D80497"/>
    <w:multiLevelType w:val="multilevel"/>
    <w:tmpl w:val="9A402F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6A96563C"/>
    <w:multiLevelType w:val="multilevel"/>
    <w:tmpl w:val="E27AE918"/>
    <w:lvl w:ilvl="0">
      <w:start w:val="4"/>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15:restartNumberingAfterBreak="0">
    <w:nsid w:val="7BC4735F"/>
    <w:multiLevelType w:val="multilevel"/>
    <w:tmpl w:val="B6323A2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5"/>
  </w:num>
  <w:num w:numId="3">
    <w:abstractNumId w:val="6"/>
  </w:num>
  <w:num w:numId="4">
    <w:abstractNumId w:val="4"/>
  </w:num>
  <w:num w:numId="5">
    <w:abstractNumId w:val="8"/>
  </w:num>
  <w:num w:numId="6">
    <w:abstractNumId w:val="10"/>
  </w:num>
  <w:num w:numId="7">
    <w:abstractNumId w:val="9"/>
  </w:num>
  <w:num w:numId="8">
    <w:abstractNumId w:val="2"/>
  </w:num>
  <w:num w:numId="9">
    <w:abstractNumId w:val="3"/>
  </w:num>
  <w:num w:numId="10">
    <w:abstractNumId w:val="7"/>
  </w:num>
  <w:num w:numId="11">
    <w:abstractNumId w:val="11"/>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288B"/>
    <w:rsid w:val="000E1550"/>
    <w:rsid w:val="0023288B"/>
    <w:rsid w:val="00717C8C"/>
    <w:rsid w:val="00A0095D"/>
  </w:rsids>
  <m:mathPr>
    <m:mathFont m:val="Cambria Math"/>
    <m:brkBin m:val="before"/>
    <m:brkBinSub m:val="--"/>
    <m:smallFrac m:val="0"/>
    <m:dispDef/>
    <m:lMargin m:val="0"/>
    <m:rMargin m:val="0"/>
    <m:defJc m:val="centerGroup"/>
    <m:wrapIndent m:val="1440"/>
    <m:intLim m:val="subSup"/>
    <m:naryLim m:val="undOvr"/>
  </m:mathPr>
  <w:themeFontLang w:val="es-419"/>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4DB03B9-9C63-421F-9634-7DCB205CF5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s-CO" w:eastAsia="es-419"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66072"/>
  </w:style>
  <w:style w:type="paragraph" w:styleId="Ttulo1">
    <w:name w:val="heading 1"/>
    <w:basedOn w:val="Normal"/>
    <w:next w:val="Normal"/>
    <w:uiPriority w:val="9"/>
    <w:qFormat/>
    <w:pPr>
      <w:keepNext/>
      <w:keepLines/>
      <w:spacing w:before="480" w:after="120"/>
      <w:outlineLvl w:val="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table" w:customStyle="1" w:styleId="TableNormal4">
    <w:name w:val="Table Normal"/>
    <w:tblPr>
      <w:tblCellMar>
        <w:top w:w="0" w:type="dxa"/>
        <w:left w:w="0" w:type="dxa"/>
        <w:bottom w:w="0" w:type="dxa"/>
        <w:right w:w="0" w:type="dxa"/>
      </w:tblCellMar>
    </w:tblPr>
  </w:style>
  <w:style w:type="paragraph" w:styleId="Encabezado">
    <w:name w:val="header"/>
    <w:basedOn w:val="Normal"/>
    <w:link w:val="EncabezadoCar"/>
    <w:uiPriority w:val="99"/>
    <w:unhideWhenUsed/>
    <w:rsid w:val="00AE2369"/>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AE2369"/>
  </w:style>
  <w:style w:type="paragraph" w:styleId="Piedepgina">
    <w:name w:val="footer"/>
    <w:basedOn w:val="Normal"/>
    <w:link w:val="PiedepginaCar"/>
    <w:uiPriority w:val="99"/>
    <w:unhideWhenUsed/>
    <w:rsid w:val="00AE2369"/>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AE2369"/>
  </w:style>
  <w:style w:type="table" w:styleId="Tablaconcuadrcula">
    <w:name w:val="Table Grid"/>
    <w:basedOn w:val="Tablanormal"/>
    <w:uiPriority w:val="39"/>
    <w:rsid w:val="0023762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EA0777"/>
    <w:pPr>
      <w:ind w:left="720"/>
      <w:contextualSpacing/>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4"/>
    <w:tblPr>
      <w:tblStyleRowBandSize w:val="1"/>
      <w:tblStyleColBandSize w:val="1"/>
      <w:tblCellMar>
        <w:left w:w="108" w:type="dxa"/>
        <w:right w:w="108" w:type="dxa"/>
      </w:tblCellMar>
    </w:tblPr>
  </w:style>
  <w:style w:type="table" w:customStyle="1" w:styleId="a0">
    <w:basedOn w:val="TableNormal4"/>
    <w:tblPr>
      <w:tblStyleRowBandSize w:val="1"/>
      <w:tblStyleColBandSize w:val="1"/>
      <w:tblCellMar>
        <w:top w:w="100" w:type="dxa"/>
        <w:left w:w="100" w:type="dxa"/>
        <w:bottom w:w="100" w:type="dxa"/>
        <w:right w:w="100" w:type="dxa"/>
      </w:tblCellMar>
    </w:tblPr>
  </w:style>
  <w:style w:type="table" w:customStyle="1" w:styleId="a1">
    <w:basedOn w:val="TableNormal4"/>
    <w:pPr>
      <w:spacing w:after="0" w:line="240" w:lineRule="auto"/>
    </w:pPr>
    <w:tblPr>
      <w:tblStyleRowBandSize w:val="1"/>
      <w:tblStyleColBandSize w:val="1"/>
      <w:tblCellMar>
        <w:left w:w="108" w:type="dxa"/>
        <w:right w:w="108" w:type="dxa"/>
      </w:tblCellMar>
    </w:tblPr>
  </w:style>
  <w:style w:type="table" w:customStyle="1" w:styleId="a2">
    <w:basedOn w:val="TableNormal4"/>
    <w:tblPr>
      <w:tblStyleRowBandSize w:val="1"/>
      <w:tblStyleColBandSize w:val="1"/>
      <w:tblCellMar>
        <w:left w:w="115" w:type="dxa"/>
        <w:right w:w="115" w:type="dxa"/>
      </w:tblCellMar>
    </w:tblPr>
  </w:style>
  <w:style w:type="paragraph" w:styleId="NormalWeb">
    <w:name w:val="Normal (Web)"/>
    <w:basedOn w:val="Normal"/>
    <w:uiPriority w:val="99"/>
    <w:semiHidden/>
    <w:unhideWhenUsed/>
    <w:rsid w:val="00AD0BEE"/>
    <w:pPr>
      <w:spacing w:before="100" w:beforeAutospacing="1" w:after="100" w:afterAutospacing="1" w:line="240" w:lineRule="auto"/>
    </w:pPr>
    <w:rPr>
      <w:rFonts w:ascii="Times New Roman" w:eastAsia="Times New Roman" w:hAnsi="Times New Roman" w:cs="Times New Roman"/>
      <w:sz w:val="24"/>
      <w:szCs w:val="24"/>
      <w:lang w:val="es-ES"/>
    </w:rPr>
  </w:style>
  <w:style w:type="table" w:customStyle="1" w:styleId="a3">
    <w:basedOn w:val="TableNormal4"/>
    <w:tblPr>
      <w:tblStyleRowBandSize w:val="1"/>
      <w:tblStyleColBandSize w:val="1"/>
      <w:tblCellMar>
        <w:top w:w="100" w:type="dxa"/>
        <w:left w:w="100" w:type="dxa"/>
        <w:bottom w:w="100" w:type="dxa"/>
        <w:right w:w="100" w:type="dxa"/>
      </w:tblCellMar>
    </w:tblPr>
  </w:style>
  <w:style w:type="table" w:customStyle="1" w:styleId="a4">
    <w:basedOn w:val="TableNormal4"/>
    <w:pPr>
      <w:spacing w:after="0" w:line="240" w:lineRule="auto"/>
    </w:pPr>
    <w:tblPr>
      <w:tblStyleRowBandSize w:val="1"/>
      <w:tblStyleColBandSize w:val="1"/>
      <w:tblCellMar>
        <w:left w:w="115" w:type="dxa"/>
        <w:right w:w="115" w:type="dxa"/>
      </w:tblCellMar>
    </w:tblPr>
  </w:style>
  <w:style w:type="table" w:customStyle="1" w:styleId="a5">
    <w:basedOn w:val="TableNormal4"/>
    <w:pPr>
      <w:spacing w:after="0" w:line="240" w:lineRule="auto"/>
    </w:pPr>
    <w:tblPr>
      <w:tblStyleRowBandSize w:val="1"/>
      <w:tblStyleColBandSize w:val="1"/>
      <w:tblCellMar>
        <w:left w:w="115" w:type="dxa"/>
        <w:right w:w="115" w:type="dxa"/>
      </w:tblCellMar>
    </w:tblPr>
  </w:style>
  <w:style w:type="table" w:customStyle="1" w:styleId="a6">
    <w:basedOn w:val="TableNormal3"/>
    <w:pPr>
      <w:spacing w:after="0" w:line="240" w:lineRule="auto"/>
    </w:pPr>
    <w:tblPr>
      <w:tblStyleRowBandSize w:val="1"/>
      <w:tblStyleColBandSize w:val="1"/>
      <w:tblCellMar>
        <w:left w:w="115" w:type="dxa"/>
        <w:right w:w="115" w:type="dxa"/>
      </w:tblCellMar>
    </w:tblPr>
  </w:style>
  <w:style w:type="table" w:customStyle="1" w:styleId="a7">
    <w:basedOn w:val="TableNormal3"/>
    <w:pPr>
      <w:spacing w:after="0" w:line="240" w:lineRule="auto"/>
    </w:pPr>
    <w:tblPr>
      <w:tblStyleRowBandSize w:val="1"/>
      <w:tblStyleColBandSize w:val="1"/>
      <w:tblCellMar>
        <w:left w:w="115" w:type="dxa"/>
        <w:right w:w="115" w:type="dxa"/>
      </w:tblCellMar>
    </w:tblPr>
  </w:style>
  <w:style w:type="table" w:customStyle="1" w:styleId="a8">
    <w:basedOn w:val="TableNormal3"/>
    <w:tblPr>
      <w:tblStyleRowBandSize w:val="1"/>
      <w:tblStyleColBandSize w:val="1"/>
      <w:tblCellMar>
        <w:top w:w="100" w:type="dxa"/>
        <w:left w:w="100" w:type="dxa"/>
        <w:bottom w:w="100" w:type="dxa"/>
        <w:right w:w="100" w:type="dxa"/>
      </w:tblCellMar>
    </w:tblPr>
  </w:style>
  <w:style w:type="table" w:customStyle="1" w:styleId="a9">
    <w:basedOn w:val="TableNormal3"/>
    <w:pPr>
      <w:spacing w:after="0" w:line="240" w:lineRule="auto"/>
    </w:pPr>
    <w:tblPr>
      <w:tblStyleRowBandSize w:val="1"/>
      <w:tblStyleColBandSize w:val="1"/>
      <w:tblCellMar>
        <w:left w:w="115" w:type="dxa"/>
        <w:right w:w="115" w:type="dxa"/>
      </w:tblCellMar>
    </w:tblPr>
  </w:style>
  <w:style w:type="table" w:customStyle="1" w:styleId="aa">
    <w:basedOn w:val="TableNormal3"/>
    <w:tblPr>
      <w:tblStyleRowBandSize w:val="1"/>
      <w:tblStyleColBandSize w:val="1"/>
      <w:tblCellMar>
        <w:top w:w="100" w:type="dxa"/>
        <w:left w:w="100" w:type="dxa"/>
        <w:bottom w:w="100" w:type="dxa"/>
        <w:right w:w="100" w:type="dxa"/>
      </w:tblCellMar>
    </w:tblPr>
  </w:style>
  <w:style w:type="table" w:customStyle="1" w:styleId="ab">
    <w:basedOn w:val="TableNormal3"/>
    <w:pPr>
      <w:spacing w:after="0" w:line="240" w:lineRule="auto"/>
    </w:pPr>
    <w:tblPr>
      <w:tblStyleRowBandSize w:val="1"/>
      <w:tblStyleColBandSize w:val="1"/>
      <w:tblCellMar>
        <w:left w:w="115" w:type="dxa"/>
        <w:right w:w="115" w:type="dxa"/>
      </w:tblCellMar>
    </w:tblPr>
  </w:style>
  <w:style w:type="paragraph" w:styleId="Textonotapie">
    <w:name w:val="footnote text"/>
    <w:basedOn w:val="Normal"/>
    <w:link w:val="TextonotapieCar"/>
    <w:uiPriority w:val="99"/>
    <w:semiHidden/>
    <w:unhideWhenUsed/>
    <w:rsid w:val="001C7FB8"/>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1C7FB8"/>
    <w:rPr>
      <w:sz w:val="20"/>
      <w:szCs w:val="20"/>
    </w:rPr>
  </w:style>
  <w:style w:type="character" w:styleId="Refdenotaalpie">
    <w:name w:val="footnote reference"/>
    <w:basedOn w:val="Fuentedeprrafopredeter"/>
    <w:uiPriority w:val="99"/>
    <w:semiHidden/>
    <w:unhideWhenUsed/>
    <w:rsid w:val="001C7FB8"/>
    <w:rPr>
      <w:vertAlign w:val="superscript"/>
    </w:rPr>
  </w:style>
  <w:style w:type="character" w:styleId="Hipervnculo">
    <w:name w:val="Hyperlink"/>
    <w:basedOn w:val="Fuentedeprrafopredeter"/>
    <w:uiPriority w:val="99"/>
    <w:unhideWhenUsed/>
    <w:rsid w:val="001A2F51"/>
    <w:rPr>
      <w:color w:val="0563C1" w:themeColor="hyperlink"/>
      <w:u w:val="single"/>
    </w:rPr>
  </w:style>
  <w:style w:type="character" w:customStyle="1" w:styleId="apple-tab-span">
    <w:name w:val="apple-tab-span"/>
    <w:basedOn w:val="Fuentedeprrafopredeter"/>
    <w:rsid w:val="008D3F8B"/>
  </w:style>
  <w:style w:type="table" w:customStyle="1" w:styleId="ac">
    <w:basedOn w:val="TableNormal1"/>
    <w:pPr>
      <w:spacing w:after="0" w:line="240" w:lineRule="auto"/>
    </w:pPr>
    <w:tblPr>
      <w:tblStyleRowBandSize w:val="1"/>
      <w:tblStyleColBandSize w:val="1"/>
      <w:tblCellMar>
        <w:left w:w="108" w:type="dxa"/>
        <w:right w:w="108" w:type="dxa"/>
      </w:tblCellMar>
    </w:tblPr>
  </w:style>
  <w:style w:type="table" w:customStyle="1" w:styleId="ad">
    <w:basedOn w:val="TableNormal1"/>
    <w:pPr>
      <w:spacing w:after="0" w:line="240" w:lineRule="auto"/>
    </w:pPr>
    <w:tblPr>
      <w:tblStyleRowBandSize w:val="1"/>
      <w:tblStyleColBandSize w:val="1"/>
      <w:tblCellMar>
        <w:left w:w="108" w:type="dxa"/>
        <w:right w:w="108" w:type="dxa"/>
      </w:tblCellMar>
    </w:tblPr>
  </w:style>
  <w:style w:type="table" w:customStyle="1" w:styleId="ae">
    <w:basedOn w:val="TableNormal1"/>
    <w:pPr>
      <w:spacing w:after="0" w:line="240" w:lineRule="auto"/>
    </w:pPr>
    <w:tblPr>
      <w:tblStyleRowBandSize w:val="1"/>
      <w:tblStyleColBandSize w:val="1"/>
      <w:tblCellMar>
        <w:left w:w="115" w:type="dxa"/>
        <w:right w:w="115" w:type="dxa"/>
      </w:tblCellMar>
    </w:tblPr>
  </w:style>
  <w:style w:type="table" w:customStyle="1" w:styleId="af">
    <w:basedOn w:val="TableNormal1"/>
    <w:pPr>
      <w:spacing w:after="0" w:line="240" w:lineRule="auto"/>
    </w:pPr>
    <w:tblPr>
      <w:tblStyleRowBandSize w:val="1"/>
      <w:tblStyleColBandSize w:val="1"/>
      <w:tblCellMar>
        <w:left w:w="108" w:type="dxa"/>
        <w:right w:w="108" w:type="dxa"/>
      </w:tblCellMar>
    </w:tblPr>
  </w:style>
  <w:style w:type="table" w:customStyle="1" w:styleId="af0">
    <w:basedOn w:val="TableNormal1"/>
    <w:pPr>
      <w:spacing w:after="0" w:line="240" w:lineRule="auto"/>
    </w:pPr>
    <w:tblPr>
      <w:tblStyleRowBandSize w:val="1"/>
      <w:tblStyleColBandSize w:val="1"/>
      <w:tblCellMar>
        <w:left w:w="115" w:type="dxa"/>
        <w:right w:w="115" w:type="dxa"/>
      </w:tblCellMar>
    </w:tblPr>
  </w:style>
  <w:style w:type="table" w:customStyle="1" w:styleId="af1">
    <w:basedOn w:val="TableNormal1"/>
    <w:pPr>
      <w:spacing w:after="0" w:line="240" w:lineRule="auto"/>
    </w:pPr>
    <w:tblPr>
      <w:tblStyleRowBandSize w:val="1"/>
      <w:tblStyleColBandSize w:val="1"/>
      <w:tblCellMar>
        <w:left w:w="108" w:type="dxa"/>
        <w:right w:w="108" w:type="dxa"/>
      </w:tblCellMar>
    </w:tblPr>
  </w:style>
  <w:style w:type="table" w:customStyle="1" w:styleId="af2">
    <w:basedOn w:val="TableNormal1"/>
    <w:pPr>
      <w:spacing w:after="0" w:line="240" w:lineRule="auto"/>
    </w:pPr>
    <w:tblPr>
      <w:tblStyleRowBandSize w:val="1"/>
      <w:tblStyleColBandSize w:val="1"/>
      <w:tblCellMar>
        <w:left w:w="108" w:type="dxa"/>
        <w:right w:w="108" w:type="dxa"/>
      </w:tblCellMar>
    </w:tblPr>
  </w:style>
  <w:style w:type="table" w:customStyle="1" w:styleId="af3">
    <w:basedOn w:val="TableNormal1"/>
    <w:pPr>
      <w:spacing w:after="0" w:line="240" w:lineRule="auto"/>
    </w:pPr>
    <w:tblPr>
      <w:tblStyleRowBandSize w:val="1"/>
      <w:tblStyleColBandSize w:val="1"/>
      <w:tblCellMar>
        <w:left w:w="115" w:type="dxa"/>
        <w:right w:w="115" w:type="dxa"/>
      </w:tblCellMar>
    </w:tblPr>
  </w:style>
  <w:style w:type="table" w:customStyle="1" w:styleId="af4">
    <w:basedOn w:val="TableNormal1"/>
    <w:pPr>
      <w:spacing w:after="0" w:line="240" w:lineRule="auto"/>
    </w:pPr>
    <w:tblPr>
      <w:tblStyleRowBandSize w:val="1"/>
      <w:tblStyleColBandSize w:val="1"/>
      <w:tblCellMar>
        <w:left w:w="108" w:type="dxa"/>
        <w:right w:w="108" w:type="dxa"/>
      </w:tblCellMar>
    </w:tblPr>
  </w:style>
  <w:style w:type="table" w:customStyle="1" w:styleId="af5">
    <w:basedOn w:val="TableNormal1"/>
    <w:pPr>
      <w:spacing w:after="0" w:line="240" w:lineRule="auto"/>
    </w:p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javeriana.edu.co/recursosdb/5581483/11594517/INF-93.Habitos-de-lectura-Colombia-Dia-Libro-LEE.pd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javeriana.edu.co/recursosdb/5581483/11594517/INF-93.Habitos-de-lectura-Colombia-Dia-Libro-LEE.pdf"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http://www.secretariasenado.gov.co/senado/basedoc/constitucion_politica_1991_pr002.html" TargetMode="External"/><Relationship Id="rId14" Type="http://schemas.openxmlformats.org/officeDocument/2006/relationships/hyperlink" Target="https://camlibro.com.co/habitos-de-lectura-2023/"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www.javeriana.edu.co/recursosdb/d/lee/inf-114-informe-saber-11-2025-le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OGnTxdWDfXGJIJfSXHc2o7l2lQA==">CgMxLjAyDmgucDNnZnFnZm5rdnV5Mg5oLndsYm03Y2l3bW1nczIOaC44NDR4ejhubXl3MjgyDmguZWZmNm00bzY0dmY1Mg5oLjhqamQ1YnVrOWRmcDIOaC56N2RwMHNldHpsN28yDmgubjc2ZjlweDA4Z3gxOAByITFNRXZ3M0U5SU9KZmRxSE8tV2dGRmdWRy1QOXhKRHNZcQ==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24</Pages>
  <Words>6775</Words>
  <Characters>37267</Characters>
  <Application>Microsoft Office Word</Application>
  <DocSecurity>0</DocSecurity>
  <Lines>310</Lines>
  <Paragraphs>87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43955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Alejandro Otalora Torres</dc:creator>
  <cp:lastModifiedBy>ANA YOLANDA DURAN RODRIGUEZ</cp:lastModifiedBy>
  <cp:revision>3</cp:revision>
  <dcterms:created xsi:type="dcterms:W3CDTF">2025-05-19T21:41:00Z</dcterms:created>
  <dcterms:modified xsi:type="dcterms:W3CDTF">2025-05-19T21:47:00Z</dcterms:modified>
</cp:coreProperties>
</file>